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8" w:lineRule="auto" w:before="0" w:after="0"/>
        <w:ind w:left="0" w:right="0" w:firstLine="0"/>
        <w:jc w:val="center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ICICI Bank Limited </w:t>
      </w:r>
    </w:p>
    <w:p>
      <w:pPr>
        <w:autoSpaceDN w:val="0"/>
        <w:autoSpaceDE w:val="0"/>
        <w:widowControl/>
        <w:spacing w:line="221" w:lineRule="auto" w:before="280" w:after="0"/>
        <w:ind w:left="0" w:right="0" w:firstLine="0"/>
        <w:jc w:val="center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Media conference call for quarter ended June 30, 2026 </w:t>
      </w:r>
    </w:p>
    <w:p>
      <w:pPr>
        <w:autoSpaceDN w:val="0"/>
        <w:autoSpaceDE w:val="0"/>
        <w:widowControl/>
        <w:spacing w:line="221" w:lineRule="auto" w:before="276" w:after="0"/>
        <w:ind w:left="0" w:right="0" w:firstLine="0"/>
        <w:jc w:val="center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On July 18, 2026 </w:t>
      </w:r>
    </w:p>
    <w:p>
      <w:pPr>
        <w:autoSpaceDN w:val="0"/>
        <w:autoSpaceDE w:val="0"/>
        <w:widowControl/>
        <w:spacing w:line="245" w:lineRule="auto" w:before="324" w:after="0"/>
        <w:ind w:left="0" w:right="30" w:firstLine="0"/>
        <w:jc w:val="both"/>
      </w:pPr>
      <w:r>
        <w:rPr>
          <w:rFonts w:ascii="Mulish" w:hAnsi="Mulish" w:eastAsia="Mulish"/>
          <w:b w:val="0"/>
          <w:i w:val="0"/>
          <w:color w:val="000000"/>
          <w:sz w:val="22"/>
        </w:rPr>
        <w:t xml:space="preserve">Certain definitions in this release relating to a future period of time (including inter alia concerning our </w:t>
      </w:r>
      <w:r>
        <w:rPr>
          <w:rFonts w:ascii="Mulish" w:hAnsi="Mulish" w:eastAsia="Mulish"/>
          <w:b w:val="0"/>
          <w:i w:val="0"/>
          <w:color w:val="000000"/>
          <w:sz w:val="22"/>
        </w:rPr>
        <w:t xml:space="preserve">future business plans or growth prospects) are forward-looking statements intended to qualify for the </w:t>
      </w:r>
      <w:r>
        <w:rPr>
          <w:rFonts w:ascii="Mulish" w:hAnsi="Mulish" w:eastAsia="Mulish"/>
          <w:b w:val="0"/>
          <w:i w:val="0"/>
          <w:color w:val="000000"/>
          <w:sz w:val="22"/>
        </w:rPr>
        <w:t xml:space="preserve">'safe harbor' under applicable securities laws including the US Private Securities Litigation Reform Act </w:t>
      </w:r>
      <w:r>
        <w:rPr>
          <w:rFonts w:ascii="Mulish" w:hAnsi="Mulish" w:eastAsia="Mulish"/>
          <w:b w:val="0"/>
          <w:i w:val="0"/>
          <w:color w:val="000000"/>
          <w:sz w:val="22"/>
        </w:rPr>
        <w:t xml:space="preserve">of 1995. Such forward-looking statements involve a number of risks and uncertainties that could cause </w:t>
      </w:r>
      <w:r>
        <w:rPr>
          <w:rFonts w:ascii="Mulish" w:hAnsi="Mulish" w:eastAsia="Mulish"/>
          <w:b w:val="0"/>
          <w:i w:val="0"/>
          <w:color w:val="000000"/>
          <w:sz w:val="22"/>
        </w:rPr>
        <w:t xml:space="preserve">actual results to differ materially from those in such forward-looking statements. These risks and </w:t>
      </w:r>
      <w:r>
        <w:rPr>
          <w:rFonts w:ascii="Mulish" w:hAnsi="Mulish" w:eastAsia="Mulish"/>
          <w:b w:val="0"/>
          <w:i w:val="0"/>
          <w:color w:val="000000"/>
          <w:sz w:val="22"/>
        </w:rPr>
        <w:t xml:space="preserve">uncertainties include, but are not limited to statutory and regulatory changes, international economic </w:t>
      </w:r>
      <w:r>
        <w:rPr>
          <w:rFonts w:ascii="Mulish" w:hAnsi="Mulish" w:eastAsia="Mulish"/>
          <w:b w:val="0"/>
          <w:i w:val="0"/>
          <w:color w:val="000000"/>
          <w:sz w:val="22"/>
        </w:rPr>
        <w:t xml:space="preserve">and business conditions, political or economic instability in the jurisdictions where we have operations </w:t>
      </w:r>
      <w:r>
        <w:rPr>
          <w:rFonts w:ascii="Mulish" w:hAnsi="Mulish" w:eastAsia="Mulish"/>
          <w:b w:val="0"/>
          <w:i w:val="0"/>
          <w:color w:val="000000"/>
          <w:sz w:val="22"/>
        </w:rPr>
        <w:t xml:space="preserve">or which affect global or Indian economic conditions, increase in nonperforming loans, unanticipated </w:t>
      </w:r>
      <w:r>
        <w:rPr>
          <w:rFonts w:ascii="Mulish" w:hAnsi="Mulish" w:eastAsia="Mulish"/>
          <w:b w:val="0"/>
          <w:i w:val="0"/>
          <w:color w:val="000000"/>
          <w:sz w:val="22"/>
        </w:rPr>
        <w:t xml:space="preserve">changes in interest rates, foreign exchange rates, equity prices or other rates or prices, our growth and </w:t>
      </w:r>
      <w:r>
        <w:rPr>
          <w:rFonts w:ascii="Mulish" w:hAnsi="Mulish" w:eastAsia="Mulish"/>
          <w:b w:val="0"/>
          <w:i w:val="0"/>
          <w:color w:val="000000"/>
          <w:sz w:val="22"/>
        </w:rPr>
        <w:t xml:space="preserve">expansion in business, the adequacy of our allowance for credit losses, the actual growth in demand </w:t>
      </w:r>
      <w:r>
        <w:rPr>
          <w:rFonts w:ascii="Mulish" w:hAnsi="Mulish" w:eastAsia="Mulish"/>
          <w:b w:val="0"/>
          <w:i w:val="0"/>
          <w:color w:val="000000"/>
          <w:sz w:val="22"/>
        </w:rPr>
        <w:t xml:space="preserve">for banking products and services, investment income, cash flow projections, our exposure to market </w:t>
      </w:r>
      <w:r>
        <w:rPr>
          <w:rFonts w:ascii="Mulish" w:hAnsi="Mulish" w:eastAsia="Mulish"/>
          <w:b w:val="0"/>
          <w:i w:val="0"/>
          <w:color w:val="000000"/>
          <w:sz w:val="22"/>
        </w:rPr>
        <w:t xml:space="preserve">risks, changes in India’s sovereign rating, as well as other risks detailed in the reports filed by us with </w:t>
      </w:r>
      <w:r>
        <w:rPr>
          <w:rFonts w:ascii="Mulish" w:hAnsi="Mulish" w:eastAsia="Mulish"/>
          <w:b w:val="0"/>
          <w:i w:val="0"/>
          <w:color w:val="000000"/>
          <w:sz w:val="22"/>
        </w:rPr>
        <w:t xml:space="preserve">the United States Securities and Exchange Commission. Any forward-looking statements contained </w:t>
      </w:r>
      <w:r>
        <w:rPr>
          <w:rFonts w:ascii="Mulish" w:hAnsi="Mulish" w:eastAsia="Mulish"/>
          <w:b w:val="0"/>
          <w:i w:val="0"/>
          <w:color w:val="000000"/>
          <w:sz w:val="22"/>
        </w:rPr>
        <w:t xml:space="preserve">herein are based on assumptions that we believe to be reasonable as of the date of this release. ICICI </w:t>
      </w:r>
      <w:r>
        <w:rPr>
          <w:rFonts w:ascii="Mulish" w:hAnsi="Mulish" w:eastAsia="Mulish"/>
          <w:b w:val="0"/>
          <w:i w:val="0"/>
          <w:color w:val="000000"/>
          <w:sz w:val="22"/>
        </w:rPr>
        <w:t xml:space="preserve">Bank undertakes no obligation to update forward-looking statements to reflect events or </w:t>
      </w:r>
      <w:r>
        <w:rPr>
          <w:rFonts w:ascii="Mulish" w:hAnsi="Mulish" w:eastAsia="Mulish"/>
          <w:b w:val="0"/>
          <w:i w:val="0"/>
          <w:color w:val="000000"/>
          <w:sz w:val="22"/>
        </w:rPr>
        <w:t xml:space="preserve">circumstances after the date thereof. Additional risks that could affect our future operating results are </w:t>
      </w:r>
      <w:r>
        <w:rPr>
          <w:rFonts w:ascii="Mulish" w:hAnsi="Mulish" w:eastAsia="Mulish"/>
          <w:b w:val="0"/>
          <w:i w:val="0"/>
          <w:color w:val="000000"/>
          <w:sz w:val="22"/>
        </w:rPr>
        <w:t xml:space="preserve">more fully described in our filings with the United States Securities and Exchange Commission. These </w:t>
      </w:r>
      <w:r>
        <w:rPr>
          <w:rFonts w:ascii="Mulish" w:hAnsi="Mulish" w:eastAsia="Mulish"/>
          <w:b w:val="0"/>
          <w:i w:val="0"/>
          <w:color w:val="000000"/>
          <w:sz w:val="22"/>
        </w:rPr>
        <w:t>filings are available at</w:t>
      </w:r>
      <w:r>
        <w:rPr>
          <w:rFonts w:ascii="Mulish" w:hAnsi="Mulish" w:eastAsia="Mulish"/>
          <w:b w:val="0"/>
          <w:i w:val="0"/>
          <w:color w:val="000000"/>
          <w:sz w:val="22"/>
        </w:rPr>
        <w:t xml:space="preserve"> </w:t>
      </w:r>
      <w:r>
        <w:rPr>
          <w:u w:val="single" w:color="467885"/>
          <w:rFonts w:ascii="Mulish" w:hAnsi="Mulish" w:eastAsia="Mulish"/>
          <w:b w:val="0"/>
          <w:i w:val="0"/>
          <w:color w:val="467886"/>
          <w:sz w:val="22"/>
        </w:rPr>
        <w:hyperlink r:id="rId9" w:history="1">
          <w:r>
            <w:rPr>
              <w:rStyle w:val="Hyperlink"/>
            </w:rPr>
            <w:t>www.sec.gov</w:t>
          </w:r>
        </w:hyperlink>
      </w:r>
      <w:r>
        <w:rPr>
          <w:rFonts w:ascii="Mulish" w:hAnsi="Mulish" w:eastAsia="Mulish"/>
          <w:b w:val="0"/>
          <w:i w:val="0"/>
          <w:color w:val="000000"/>
          <w:sz w:val="22"/>
        </w:rPr>
        <w:hyperlink r:id="rId9" w:history="1">
          <w:r>
            <w:rPr>
              <w:rStyle w:val="Hyperlink"/>
            </w:rPr>
            <w:t>.</w:t>
          </w:r>
        </w:hyperlink>
      </w:r>
      <w:r>
        <w:rPr>
          <w:rFonts w:ascii="Mulish" w:hAnsi="Mulish" w:eastAsia="Mulish"/>
          <w:b w:val="0"/>
          <w:i w:val="0"/>
          <w:color w:val="000000"/>
          <w:sz w:val="22"/>
        </w:rPr>
        <w:t xml:space="preserve"> This release does not constitute an offer of securities</w:t>
      </w:r>
      <w:r>
        <w:rPr>
          <w:rFonts w:ascii="Mulish" w:hAnsi="Mulish" w:eastAsia="Mulish"/>
          <w:b w:val="0"/>
          <w:i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221" w:lineRule="auto" w:before="284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Moderator: </w:t>
      </w:r>
    </w:p>
    <w:p>
      <w:pPr>
        <w:autoSpaceDN w:val="0"/>
        <w:autoSpaceDE w:val="0"/>
        <w:widowControl/>
        <w:spacing w:line="245" w:lineRule="auto" w:before="280" w:after="0"/>
        <w:ind w:left="0" w:right="22" w:firstLine="0"/>
        <w:jc w:val="both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Ladies and gentlemen, we welcome you all to ICICI Bank's Results Conference call with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Mr. Sandeep Batra, Executive Director, ICICI Bank and Mr. Anindya Banerjee, Group Chief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Financial Officer, ICICI Bank. Mr. Batra will now give you an overview of the results which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will be followed by a Q&amp;A session. Thank you and over to you, sir. </w:t>
      </w:r>
    </w:p>
    <w:p>
      <w:pPr>
        <w:autoSpaceDN w:val="0"/>
        <w:autoSpaceDE w:val="0"/>
        <w:widowControl/>
        <w:spacing w:line="218" w:lineRule="auto" w:before="278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Sandeep Batra: </w:t>
      </w:r>
    </w:p>
    <w:p>
      <w:pPr>
        <w:autoSpaceDN w:val="0"/>
        <w:autoSpaceDE w:val="0"/>
        <w:widowControl/>
        <w:spacing w:line="245" w:lineRule="auto" w:before="280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Thank you. Good evening, everyone, and thank you all for joining us today. I know it is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going to be a busy afternoon for all of you. </w:t>
      </w:r>
    </w:p>
    <w:p>
      <w:pPr>
        <w:autoSpaceDN w:val="0"/>
        <w:autoSpaceDE w:val="0"/>
        <w:widowControl/>
        <w:spacing w:line="245" w:lineRule="auto" w:before="280" w:after="0"/>
        <w:ind w:left="0" w:right="20" w:firstLine="0"/>
        <w:jc w:val="both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Amidst the global uncertainties, the Indian economy continues to be resilient as reflected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by high frequency indicators, backed by various initiatives taken by the policy makers.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We continue to monitor the developments closely and remain focussed on our long-term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strategy, aligned with India’s evolving economic landscape. </w:t>
      </w:r>
    </w:p>
    <w:p>
      <w:pPr>
        <w:autoSpaceDN w:val="0"/>
        <w:autoSpaceDE w:val="0"/>
        <w:widowControl/>
        <w:spacing w:line="245" w:lineRule="auto" w:before="278" w:after="0"/>
        <w:ind w:left="0" w:right="24" w:firstLine="0"/>
        <w:jc w:val="both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At ICICI Bank, our strategic focus continues to be on growing profit before tax excluding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treasury through the 360-degree customer centric approach and by serving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opportunities across ecosystems and micromarkets. We continue to operate within the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framework of our values to strengthen our franchise. Maintaining high standards of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governance, deepening coverage and enhancing delivery capabilities with a focus on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simplicity and operational resilience, are key drivers for our risk calibrated profitable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growth. </w:t>
      </w: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Our Board has approved the financial results of ICICI Bank for the quarter ended June 30,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2026. I would like to highlight some key numbers: </w:t>
      </w:r>
    </w:p>
    <w:p>
      <w:pPr>
        <w:autoSpaceDN w:val="0"/>
        <w:autoSpaceDE w:val="0"/>
        <w:widowControl/>
        <w:spacing w:line="221" w:lineRule="auto" w:before="280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First, moving on to profit and capital </w:t>
      </w:r>
    </w:p>
    <w:p>
      <w:pPr>
        <w:autoSpaceDN w:val="0"/>
        <w:autoSpaceDE w:val="0"/>
        <w:widowControl/>
        <w:spacing w:line="221" w:lineRule="auto" w:before="276" w:after="0"/>
        <w:ind w:left="284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>A.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Profit and capital </w:t>
      </w:r>
    </w:p>
    <w:p>
      <w:pPr>
        <w:autoSpaceDN w:val="0"/>
        <w:tabs>
          <w:tab w:pos="900" w:val="left"/>
        </w:tabs>
        <w:autoSpaceDE w:val="0"/>
        <w:widowControl/>
        <w:spacing w:line="245" w:lineRule="auto" w:before="276" w:after="0"/>
        <w:ind w:left="54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>1.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Net interest income grew by 12.7% year-on-year to ₹24,384 crore in Q1-2027 </w:t>
      </w:r>
      <w:r>
        <w:rPr>
          <w:rFonts w:ascii="Mulish" w:hAnsi="Mulish" w:eastAsia="Mulish"/>
          <w:b/>
          <w:i w:val="0"/>
          <w:color w:val="000000"/>
          <w:sz w:val="22"/>
        </w:rPr>
        <w:t>2.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Net interest margin was 4.36% in Q1-2027 compared to 4.32% in Q4-2026 </w:t>
      </w:r>
      <w:r>
        <w:rPr>
          <w:rFonts w:ascii="Mulish" w:hAnsi="Mulish" w:eastAsia="Mulish"/>
          <w:b/>
          <w:i w:val="0"/>
          <w:color w:val="000000"/>
          <w:sz w:val="22"/>
        </w:rPr>
        <w:t>3.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Fee income grew by 23.5% year-on-year to ₹7,286 crore in Q1-2027 </w:t>
      </w:r>
      <w:r>
        <w:rPr>
          <w:rFonts w:ascii="Mulish" w:hAnsi="Mulish" w:eastAsia="Mulish"/>
          <w:b/>
          <w:sz w:val="22"/>
        </w:rPr>
        <w:t xml:space="preserve"> </w:t>
      </w:r>
      <w:r>
        <w:rPr>
          <w:rFonts w:ascii="Mulish" w:hAnsi="Mulish" w:eastAsia="Mulish"/>
          <w:b/>
          <w:i w:val="0"/>
          <w:color w:val="000000"/>
          <w:sz w:val="22"/>
        </w:rPr>
        <w:t>4.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Operating expenses grew by 10.4% year-on-year to ₹12,574 crore in Q1-2027 </w:t>
      </w:r>
      <w:r>
        <w:rPr>
          <w:rFonts w:ascii="Mulish" w:hAnsi="Mulish" w:eastAsia="Mulish"/>
          <w:b/>
          <w:i w:val="0"/>
          <w:color w:val="000000"/>
          <w:sz w:val="22"/>
        </w:rPr>
        <w:t>5.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Core operating profit grew by 15.6% year-on-year to ₹20,235 crore in Q1-2027 </w:t>
      </w:r>
      <w:r>
        <w:rPr>
          <w:rFonts w:ascii="Mulish" w:hAnsi="Mulish" w:eastAsia="Mulish"/>
          <w:b/>
          <w:i w:val="0"/>
          <w:color w:val="000000"/>
          <w:sz w:val="22"/>
        </w:rPr>
        <w:t>6.</w:t>
      </w:r>
      <w:r>
        <w:rPr>
          <w:rFonts w:ascii="Mulish" w:hAnsi="Mulish" w:eastAsia="Mulish"/>
          <w:b/>
          <w:i w:val="0"/>
          <w:color w:val="000000"/>
          <w:sz w:val="22"/>
        </w:rPr>
        <w:t>Core operating profit excluding dividend from subsidiaries grew by 18.3% year-</w:t>
      </w:r>
      <w:r>
        <w:rPr>
          <w:rFonts w:ascii="Mulish" w:hAnsi="Mulish" w:eastAsia="Mulish"/>
          <w:b/>
          <w:sz w:val="22"/>
        </w:rPr>
        <w:tab/>
      </w:r>
      <w:r>
        <w:rPr>
          <w:rFonts w:ascii="Mulish" w:hAnsi="Mulish" w:eastAsia="Mulish"/>
          <w:b/>
          <w:i w:val="0"/>
          <w:color w:val="000000"/>
          <w:sz w:val="22"/>
        </w:rPr>
        <w:t xml:space="preserve">on-year to ₹19,125 crore in Q1-2027 </w:t>
      </w:r>
      <w:r>
        <w:rPr>
          <w:rFonts w:ascii="Mulish" w:hAnsi="Mulish" w:eastAsia="Mulish"/>
          <w:b/>
          <w:sz w:val="22"/>
        </w:rPr>
        <w:t xml:space="preserve"> </w:t>
      </w:r>
      <w:r>
        <w:rPr>
          <w:rFonts w:ascii="Mulish" w:hAnsi="Mulish" w:eastAsia="Mulish"/>
          <w:b/>
          <w:i w:val="0"/>
          <w:color w:val="000000"/>
          <w:sz w:val="22"/>
        </w:rPr>
        <w:t>7.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Provisions (excluding provision for tax) were ₹1,260 crore in Q1-2027 </w:t>
      </w:r>
      <w:r>
        <w:rPr>
          <w:rFonts w:ascii="Mulish" w:hAnsi="Mulish" w:eastAsia="Mulish"/>
          <w:b/>
          <w:sz w:val="22"/>
        </w:rPr>
        <w:t xml:space="preserve"> </w:t>
      </w:r>
      <w:r>
        <w:rPr>
          <w:rFonts w:ascii="Mulish" w:hAnsi="Mulish" w:eastAsia="Mulish"/>
          <w:b/>
          <w:i w:val="0"/>
          <w:color w:val="000000"/>
          <w:sz w:val="22"/>
        </w:rPr>
        <w:t>8.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Profit before tax excluding treasury grew by 20.9% year-on-year to ₹18,975 </w:t>
      </w:r>
      <w:r>
        <w:rPr>
          <w:rFonts w:ascii="Mulish" w:hAnsi="Mulish" w:eastAsia="Mulish"/>
          <w:b/>
          <w:sz w:val="22"/>
        </w:rPr>
        <w:tab/>
      </w:r>
      <w:r>
        <w:rPr>
          <w:rFonts w:ascii="Mulish" w:hAnsi="Mulish" w:eastAsia="Mulish"/>
          <w:b/>
          <w:i w:val="0"/>
          <w:color w:val="000000"/>
          <w:sz w:val="22"/>
        </w:rPr>
        <w:t xml:space="preserve">crore in Q1-2027 </w:t>
      </w:r>
      <w:r>
        <w:rPr>
          <w:rFonts w:ascii="Mulish" w:hAnsi="Mulish" w:eastAsia="Mulish"/>
          <w:b/>
          <w:sz w:val="22"/>
        </w:rPr>
        <w:t xml:space="preserve"> </w:t>
      </w:r>
      <w:r>
        <w:rPr>
          <w:rFonts w:ascii="Mulish" w:hAnsi="Mulish" w:eastAsia="Mulish"/>
          <w:b/>
          <w:i w:val="0"/>
          <w:color w:val="000000"/>
          <w:sz w:val="22"/>
        </w:rPr>
        <w:t>9.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Profit after tax grew by 15.9% year-on-year to ₹14,805 crore in Q1-2027 </w:t>
      </w:r>
      <w:r>
        <w:rPr>
          <w:rFonts w:ascii="Mulish" w:hAnsi="Mulish" w:eastAsia="Mulish"/>
          <w:b/>
          <w:i w:val="0"/>
          <w:color w:val="000000"/>
          <w:sz w:val="22"/>
        </w:rPr>
        <w:t>10.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Standalone RoE was 17.1% in Q1-2027 </w:t>
      </w:r>
      <w:r>
        <w:rPr>
          <w:rFonts w:ascii="Mulish" w:hAnsi="Mulish" w:eastAsia="Mulish"/>
          <w:b/>
          <w:sz w:val="22"/>
        </w:rPr>
        <w:t xml:space="preserve"> </w:t>
      </w:r>
      <w:r>
        <w:rPr>
          <w:rFonts w:ascii="Mulish" w:hAnsi="Mulish" w:eastAsia="Mulish"/>
          <w:b/>
          <w:i w:val="0"/>
          <w:color w:val="000000"/>
          <w:sz w:val="22"/>
        </w:rPr>
        <w:t>11.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At June 30, 2026, the Bank had net worth of about ₹3.5 lakh crore. CET-1 ratio </w:t>
      </w:r>
      <w:r>
        <w:rPr>
          <w:rFonts w:ascii="Mulish" w:hAnsi="Mulish" w:eastAsia="Mulish"/>
          <w:b/>
          <w:sz w:val="22"/>
        </w:rPr>
        <w:tab/>
      </w:r>
      <w:r>
        <w:rPr>
          <w:rFonts w:ascii="Mulish" w:hAnsi="Mulish" w:eastAsia="Mulish"/>
          <w:b/>
          <w:i w:val="0"/>
          <w:color w:val="000000"/>
          <w:sz w:val="22"/>
        </w:rPr>
        <w:t xml:space="preserve">was 16.19% and total capital adequacy ratio was 16.84% at June 30, 2026 </w:t>
      </w:r>
    </w:p>
    <w:p>
      <w:pPr>
        <w:autoSpaceDN w:val="0"/>
        <w:autoSpaceDE w:val="0"/>
        <w:widowControl/>
        <w:spacing w:line="221" w:lineRule="auto" w:before="280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Moving on to deposit growth </w:t>
      </w:r>
    </w:p>
    <w:p>
      <w:pPr>
        <w:autoSpaceDN w:val="0"/>
        <w:autoSpaceDE w:val="0"/>
        <w:widowControl/>
        <w:spacing w:line="218" w:lineRule="auto" w:before="278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>B.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 Deposit growth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278" w:after="0"/>
        <w:ind w:left="36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>1.</w:t>
      </w:r>
      <w:r>
        <w:rPr>
          <w:rFonts w:ascii="Mulish" w:hAnsi="Mulish" w:eastAsia="Mulish"/>
          <w:b/>
          <w:i w:val="0"/>
          <w:color w:val="000000"/>
          <w:sz w:val="22"/>
        </w:rPr>
        <w:t>Total period-end deposits increased by 14.0% year-on-year and 2.2% quarter-on-</w:t>
      </w:r>
      <w:r>
        <w:rPr>
          <w:rFonts w:ascii="Mulish" w:hAnsi="Mulish" w:eastAsia="Mulish"/>
          <w:b/>
          <w:sz w:val="22"/>
        </w:rPr>
        <w:tab/>
      </w:r>
      <w:r>
        <w:rPr>
          <w:rFonts w:ascii="Mulish" w:hAnsi="Mulish" w:eastAsia="Mulish"/>
          <w:b/>
          <w:i w:val="0"/>
          <w:color w:val="000000"/>
          <w:sz w:val="22"/>
        </w:rPr>
        <w:t xml:space="preserve">quarter at June 30, 2026 </w:t>
      </w:r>
      <w:r>
        <w:rPr>
          <w:rFonts w:ascii="Mulish" w:hAnsi="Mulish" w:eastAsia="Mulish"/>
          <w:b/>
          <w:sz w:val="22"/>
        </w:rPr>
        <w:t xml:space="preserve"> </w:t>
      </w:r>
      <w:r>
        <w:rPr>
          <w:rFonts w:ascii="Mulish" w:hAnsi="Mulish" w:eastAsia="Mulish"/>
          <w:b/>
          <w:i w:val="0"/>
          <w:color w:val="000000"/>
          <w:sz w:val="22"/>
        </w:rPr>
        <w:t>2.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Average deposits increased by 14.0% year-on-year and 6.1% sequentially during </w:t>
      </w:r>
      <w:r>
        <w:rPr>
          <w:rFonts w:ascii="Mulish" w:hAnsi="Mulish" w:eastAsia="Mulish"/>
          <w:b/>
          <w:sz w:val="22"/>
        </w:rPr>
        <w:tab/>
      </w:r>
      <w:r>
        <w:rPr>
          <w:rFonts w:ascii="Mulish" w:hAnsi="Mulish" w:eastAsia="Mulish"/>
          <w:b/>
          <w:i w:val="0"/>
          <w:color w:val="000000"/>
          <w:sz w:val="22"/>
        </w:rPr>
        <w:t xml:space="preserve">Q1-2027 </w:t>
      </w:r>
      <w:r>
        <w:rPr>
          <w:rFonts w:ascii="Mulish" w:hAnsi="Mulish" w:eastAsia="Mulish"/>
          <w:b/>
          <w:sz w:val="22"/>
        </w:rPr>
        <w:t xml:space="preserve"> </w:t>
      </w:r>
      <w:r>
        <w:rPr>
          <w:rFonts w:ascii="Mulish" w:hAnsi="Mulish" w:eastAsia="Mulish"/>
          <w:b/>
          <w:i w:val="0"/>
          <w:color w:val="000000"/>
          <w:sz w:val="22"/>
        </w:rPr>
        <w:t>3.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Average current and savings account deposits increased by 12.1% year-on-year </w:t>
      </w:r>
      <w:r>
        <w:rPr>
          <w:rFonts w:ascii="Mulish" w:hAnsi="Mulish" w:eastAsia="Mulish"/>
          <w:b/>
          <w:i w:val="0"/>
          <w:color w:val="000000"/>
          <w:sz w:val="22"/>
        </w:rPr>
        <w:t>4.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The Bank opened 97 branches during Q1-2027 and had a network of 7,608 </w:t>
      </w:r>
      <w:r>
        <w:rPr>
          <w:rFonts w:ascii="Mulish" w:hAnsi="Mulish" w:eastAsia="Mulish"/>
          <w:b/>
          <w:sz w:val="22"/>
        </w:rPr>
        <w:tab/>
      </w:r>
      <w:r>
        <w:rPr>
          <w:rFonts w:ascii="Mulish" w:hAnsi="Mulish" w:eastAsia="Mulish"/>
          <w:b/>
          <w:i w:val="0"/>
          <w:color w:val="000000"/>
          <w:sz w:val="22"/>
        </w:rPr>
        <w:t xml:space="preserve">branches and 12,190 ATMs and cash recycling machines at June 30, 2026 </w:t>
      </w:r>
    </w:p>
    <w:p>
      <w:pPr>
        <w:autoSpaceDN w:val="0"/>
        <w:autoSpaceDE w:val="0"/>
        <w:widowControl/>
        <w:spacing w:line="221" w:lineRule="auto" w:before="280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Moving on to loan growth </w:t>
      </w:r>
    </w:p>
    <w:p>
      <w:pPr>
        <w:autoSpaceDN w:val="0"/>
        <w:autoSpaceDE w:val="0"/>
        <w:widowControl/>
        <w:spacing w:line="218" w:lineRule="auto" w:before="278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>C.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 Loan growth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276" w:after="0"/>
        <w:ind w:left="36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>1.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The total loan portfolio grew by 19.6% year-on-year and 5.0% quarter-on-quarter </w:t>
      </w:r>
      <w:r>
        <w:rPr>
          <w:rFonts w:ascii="Mulish" w:hAnsi="Mulish" w:eastAsia="Mulish"/>
          <w:b/>
          <w:sz w:val="22"/>
        </w:rPr>
        <w:tab/>
      </w:r>
      <w:r>
        <w:rPr>
          <w:rFonts w:ascii="Mulish" w:hAnsi="Mulish" w:eastAsia="Mulish"/>
          <w:b/>
          <w:i w:val="0"/>
          <w:color w:val="000000"/>
          <w:sz w:val="22"/>
        </w:rPr>
        <w:t xml:space="preserve">at June 30, 2026 </w:t>
      </w:r>
      <w:r>
        <w:rPr>
          <w:rFonts w:ascii="Mulish" w:hAnsi="Mulish" w:eastAsia="Mulish"/>
          <w:b/>
          <w:sz w:val="22"/>
        </w:rPr>
        <w:t xml:space="preserve"> </w:t>
      </w:r>
      <w:r>
        <w:rPr>
          <w:rFonts w:ascii="Mulish" w:hAnsi="Mulish" w:eastAsia="Mulish"/>
          <w:b/>
          <w:i w:val="0"/>
          <w:color w:val="000000"/>
          <w:sz w:val="22"/>
        </w:rPr>
        <w:t>2.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The retail loan portfolio grew by 12.0% year-on-year. Including non-fund </w:t>
      </w:r>
      <w:r>
        <w:rPr>
          <w:rFonts w:ascii="Mulish" w:hAnsi="Mulish" w:eastAsia="Mulish"/>
          <w:b/>
          <w:sz w:val="22"/>
        </w:rPr>
        <w:tab/>
      </w:r>
      <w:r>
        <w:rPr>
          <w:rFonts w:ascii="Mulish" w:hAnsi="Mulish" w:eastAsia="Mulish"/>
          <w:b/>
          <w:i w:val="0"/>
          <w:color w:val="000000"/>
          <w:sz w:val="22"/>
        </w:rPr>
        <w:t xml:space="preserve">outstanding, the retail loan portfolio was 41.1% of the total portfolio. The </w:t>
      </w:r>
      <w:r>
        <w:rPr>
          <w:rFonts w:ascii="Mulish" w:hAnsi="Mulish" w:eastAsia="Mulish"/>
          <w:b/>
          <w:sz w:val="22"/>
        </w:rPr>
        <w:tab/>
      </w:r>
      <w:r>
        <w:rPr>
          <w:rFonts w:ascii="Mulish" w:hAnsi="Mulish" w:eastAsia="Mulish"/>
          <w:b/>
          <w:i w:val="0"/>
          <w:color w:val="000000"/>
          <w:sz w:val="22"/>
        </w:rPr>
        <w:t xml:space="preserve">mortgage portfolio grew by 14.6% year-on-year. The personal loan portfolio grew </w:t>
      </w:r>
      <w:r>
        <w:rPr>
          <w:rFonts w:ascii="Mulish" w:hAnsi="Mulish" w:eastAsia="Mulish"/>
          <w:b/>
          <w:sz w:val="22"/>
        </w:rPr>
        <w:tab/>
      </w:r>
      <w:r>
        <w:rPr>
          <w:rFonts w:ascii="Mulish" w:hAnsi="Mulish" w:eastAsia="Mulish"/>
          <w:b/>
          <w:i w:val="0"/>
          <w:color w:val="000000"/>
          <w:sz w:val="22"/>
        </w:rPr>
        <w:t xml:space="preserve">by 12.9% year-on-year. The credit card portfolio declined by 1.9% year-on-year.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0" w:after="0"/>
        <w:ind w:left="360" w:right="0" w:firstLine="0"/>
        <w:jc w:val="left"/>
      </w:pPr>
      <w:r>
        <w:rPr>
          <w:rFonts w:ascii="Mulish" w:hAnsi="Mulish" w:eastAsia="Mulish"/>
          <w:b/>
          <w:sz w:val="22"/>
        </w:rPr>
        <w:tab/>
      </w:r>
      <w:r>
        <w:rPr>
          <w:rFonts w:ascii="Mulish" w:hAnsi="Mulish" w:eastAsia="Mulish"/>
          <w:b/>
          <w:i w:val="0"/>
          <w:color w:val="000000"/>
          <w:sz w:val="22"/>
        </w:rPr>
        <w:t xml:space="preserve">The rural portfolio grew by 35.4% year-on-year. The business banking portfolio </w:t>
      </w:r>
      <w:r>
        <w:rPr>
          <w:rFonts w:ascii="Mulish" w:hAnsi="Mulish" w:eastAsia="Mulish"/>
          <w:b/>
          <w:sz w:val="22"/>
        </w:rPr>
        <w:tab/>
      </w:r>
      <w:r>
        <w:rPr>
          <w:rFonts w:ascii="Mulish" w:hAnsi="Mulish" w:eastAsia="Mulish"/>
          <w:b/>
          <w:i w:val="0"/>
          <w:color w:val="000000"/>
          <w:sz w:val="22"/>
        </w:rPr>
        <w:t xml:space="preserve">grew by 28.2% year-on-year. Growth in the domestic corporate portfolio was </w:t>
      </w:r>
      <w:r>
        <w:rPr>
          <w:rFonts w:ascii="Mulish" w:hAnsi="Mulish" w:eastAsia="Mulish"/>
          <w:b/>
          <w:sz w:val="22"/>
        </w:rPr>
        <w:tab/>
      </w:r>
      <w:r>
        <w:rPr>
          <w:rFonts w:ascii="Mulish" w:hAnsi="Mulish" w:eastAsia="Mulish"/>
          <w:b/>
          <w:i w:val="0"/>
          <w:color w:val="000000"/>
          <w:sz w:val="22"/>
        </w:rPr>
        <w:t xml:space="preserve">18.5% year-on-year at June 30, 2026 </w:t>
      </w:r>
      <w:r>
        <w:rPr>
          <w:rFonts w:ascii="Mulish" w:hAnsi="Mulish" w:eastAsia="Mulish"/>
          <w:b/>
          <w:sz w:val="22"/>
        </w:rPr>
        <w:t xml:space="preserve"> </w:t>
      </w:r>
      <w:r>
        <w:rPr>
          <w:rFonts w:ascii="Mulish" w:hAnsi="Mulish" w:eastAsia="Mulish"/>
          <w:b/>
          <w:i w:val="0"/>
          <w:color w:val="000000"/>
          <w:sz w:val="22"/>
        </w:rPr>
        <w:t>3.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About 71.9% of the corporate loan portfolio was rated ‘A- and above’ at June 30, </w:t>
      </w:r>
      <w:r>
        <w:rPr>
          <w:rFonts w:ascii="Mulish" w:hAnsi="Mulish" w:eastAsia="Mulish"/>
          <w:b/>
          <w:sz w:val="22"/>
        </w:rPr>
        <w:tab/>
      </w:r>
      <w:r>
        <w:rPr>
          <w:rFonts w:ascii="Mulish" w:hAnsi="Mulish" w:eastAsia="Mulish"/>
          <w:b/>
          <w:i w:val="0"/>
          <w:color w:val="000000"/>
          <w:sz w:val="22"/>
        </w:rPr>
        <w:t xml:space="preserve">2026 </w:t>
      </w:r>
    </w:p>
    <w:p>
      <w:pPr>
        <w:autoSpaceDN w:val="0"/>
        <w:autoSpaceDE w:val="0"/>
        <w:widowControl/>
        <w:spacing w:line="218" w:lineRule="auto" w:before="0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Now, moving to asset quality </w:t>
      </w:r>
    </w:p>
    <w:p>
      <w:pPr>
        <w:autoSpaceDN w:val="0"/>
        <w:autoSpaceDE w:val="0"/>
        <w:widowControl/>
        <w:spacing w:line="221" w:lineRule="auto" w:before="280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>D.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Asset Quality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274" w:after="0"/>
        <w:ind w:left="36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>1.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Net NPA ratio was 0.35% at June 30, 2026 compared to 0.33% at March 31, 2026 </w:t>
      </w:r>
      <w:r>
        <w:rPr>
          <w:rFonts w:ascii="Mulish" w:hAnsi="Mulish" w:eastAsia="Mulish"/>
          <w:b/>
          <w:sz w:val="22"/>
        </w:rPr>
        <w:tab/>
      </w:r>
      <w:r>
        <w:rPr>
          <w:rFonts w:ascii="Mulish" w:hAnsi="Mulish" w:eastAsia="Mulish"/>
          <w:b/>
          <w:i w:val="0"/>
          <w:color w:val="000000"/>
          <w:sz w:val="22"/>
        </w:rPr>
        <w:t xml:space="preserve">and 0.41% at June 30, 2025 </w:t>
      </w:r>
      <w:r>
        <w:rPr>
          <w:rFonts w:ascii="Mulish" w:hAnsi="Mulish" w:eastAsia="Mulish"/>
          <w:b/>
          <w:sz w:val="22"/>
        </w:rPr>
        <w:t xml:space="preserve"> </w:t>
      </w:r>
      <w:r>
        <w:rPr>
          <w:rFonts w:ascii="Mulish" w:hAnsi="Mulish" w:eastAsia="Mulish"/>
          <w:b/>
          <w:i w:val="0"/>
          <w:color w:val="000000"/>
          <w:sz w:val="22"/>
        </w:rPr>
        <w:t>2.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During Q1-2027, there were net additions to gross NPAs of ₹2,707 crore </w:t>
      </w:r>
      <w:r>
        <w:rPr>
          <w:rFonts w:ascii="Mulish" w:hAnsi="Mulish" w:eastAsia="Mulish"/>
          <w:b/>
          <w:sz w:val="22"/>
        </w:rPr>
        <w:t xml:space="preserve"> </w:t>
      </w:r>
      <w:r>
        <w:rPr>
          <w:rFonts w:ascii="Mulish" w:hAnsi="Mulish" w:eastAsia="Mulish"/>
          <w:b/>
          <w:i w:val="0"/>
          <w:color w:val="000000"/>
          <w:sz w:val="22"/>
        </w:rPr>
        <w:t>3.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Gross NPA additions were ₹5,552 crore in Q1-2027. Recoveries and upgrades of </w:t>
      </w:r>
      <w:r>
        <w:rPr>
          <w:rFonts w:ascii="Mulish" w:hAnsi="Mulish" w:eastAsia="Mulish"/>
          <w:b/>
          <w:sz w:val="22"/>
        </w:rPr>
        <w:tab/>
      </w:r>
      <w:r>
        <w:rPr>
          <w:rFonts w:ascii="Mulish" w:hAnsi="Mulish" w:eastAsia="Mulish"/>
          <w:b/>
          <w:i w:val="0"/>
          <w:color w:val="000000"/>
          <w:sz w:val="22"/>
        </w:rPr>
        <w:t xml:space="preserve">NPAs, excluding write-offs and sale, were ₹2,845 crore in Q1-2027 </w:t>
      </w:r>
      <w:r>
        <w:rPr>
          <w:rFonts w:ascii="Mulish" w:hAnsi="Mulish" w:eastAsia="Mulish"/>
          <w:b/>
          <w:sz w:val="22"/>
        </w:rPr>
        <w:t xml:space="preserve"> </w:t>
      </w:r>
      <w:r>
        <w:rPr>
          <w:rFonts w:ascii="Mulish" w:hAnsi="Mulish" w:eastAsia="Mulish"/>
          <w:b/>
          <w:i w:val="0"/>
          <w:color w:val="000000"/>
          <w:sz w:val="22"/>
        </w:rPr>
        <w:t>4.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Gross NPAs written off were ₹1,673 crore in Q1-2027 </w:t>
      </w:r>
      <w:r>
        <w:rPr>
          <w:rFonts w:ascii="Mulish" w:hAnsi="Mulish" w:eastAsia="Mulish"/>
          <w:b/>
          <w:sz w:val="22"/>
        </w:rPr>
        <w:t xml:space="preserve"> </w:t>
      </w:r>
      <w:r>
        <w:rPr>
          <w:rFonts w:ascii="Mulish" w:hAnsi="Mulish" w:eastAsia="Mulish"/>
          <w:b/>
          <w:i w:val="0"/>
          <w:color w:val="000000"/>
          <w:sz w:val="22"/>
        </w:rPr>
        <w:t>5.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There was sale of NPAs of ₹239 crore for cash in the current quarter </w:t>
      </w:r>
      <w:r>
        <w:rPr>
          <w:rFonts w:ascii="Mulish" w:hAnsi="Mulish" w:eastAsia="Mulish"/>
          <w:b/>
          <w:sz w:val="22"/>
        </w:rPr>
        <w:t xml:space="preserve"> </w:t>
      </w:r>
      <w:r>
        <w:rPr>
          <w:rFonts w:ascii="Mulish" w:hAnsi="Mulish" w:eastAsia="Mulish"/>
          <w:b/>
          <w:i w:val="0"/>
          <w:color w:val="000000"/>
          <w:sz w:val="22"/>
        </w:rPr>
        <w:t>6.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Provisioning coverage ratio on non-performing loans was 74.7% at June 30, 2026 </w:t>
      </w:r>
      <w:r>
        <w:rPr>
          <w:rFonts w:ascii="Mulish" w:hAnsi="Mulish" w:eastAsia="Mulish"/>
          <w:b/>
          <w:i w:val="0"/>
          <w:color w:val="000000"/>
          <w:sz w:val="22"/>
        </w:rPr>
        <w:t>7.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Total fund based outstanding to all borrowers under resolution as per the various </w:t>
      </w:r>
      <w:r>
        <w:rPr>
          <w:rFonts w:ascii="Mulish" w:hAnsi="Mulish" w:eastAsia="Mulish"/>
          <w:b/>
          <w:sz w:val="22"/>
        </w:rPr>
        <w:tab/>
      </w:r>
      <w:r>
        <w:rPr>
          <w:rFonts w:ascii="Mulish" w:hAnsi="Mulish" w:eastAsia="Mulish"/>
          <w:b/>
          <w:i w:val="0"/>
          <w:color w:val="000000"/>
          <w:sz w:val="22"/>
        </w:rPr>
        <w:t xml:space="preserve">extant regulations was ₹1,363 crore </w:t>
      </w:r>
      <w:r>
        <w:rPr>
          <w:rFonts w:ascii="Mulish" w:hAnsi="Mulish" w:eastAsia="Mulish"/>
          <w:b/>
          <w:sz w:val="22"/>
        </w:rPr>
        <w:t xml:space="preserve"> </w:t>
      </w:r>
      <w:r>
        <w:rPr>
          <w:rFonts w:ascii="Mulish" w:hAnsi="Mulish" w:eastAsia="Mulish"/>
          <w:b/>
          <w:i w:val="0"/>
          <w:color w:val="000000"/>
          <w:sz w:val="22"/>
        </w:rPr>
        <w:t>8.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Loans and non-fund based outstanding to performing corporate borrowers rated </w:t>
      </w:r>
      <w:r>
        <w:rPr>
          <w:rFonts w:ascii="Mulish" w:hAnsi="Mulish" w:eastAsia="Mulish"/>
          <w:b/>
          <w:sz w:val="22"/>
        </w:rPr>
        <w:tab/>
      </w:r>
      <w:r>
        <w:rPr>
          <w:rFonts w:ascii="Mulish" w:hAnsi="Mulish" w:eastAsia="Mulish"/>
          <w:b/>
          <w:i w:val="0"/>
          <w:color w:val="000000"/>
          <w:sz w:val="22"/>
        </w:rPr>
        <w:t xml:space="preserve">BB and below were ₹3,485 crore at June 30, 2026 </w:t>
      </w:r>
      <w:r>
        <w:rPr>
          <w:rFonts w:ascii="Mulish" w:hAnsi="Mulish" w:eastAsia="Mulish"/>
          <w:b/>
          <w:sz w:val="22"/>
        </w:rPr>
        <w:t xml:space="preserve"> </w:t>
      </w:r>
      <w:r>
        <w:rPr>
          <w:rFonts w:ascii="Mulish" w:hAnsi="Mulish" w:eastAsia="Mulish"/>
          <w:b/>
          <w:i w:val="0"/>
          <w:color w:val="000000"/>
          <w:sz w:val="22"/>
        </w:rPr>
        <w:t>9.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The total provisions during Q1-2027 were ₹1,260 crore or 6.2% of core operating </w:t>
      </w:r>
      <w:r>
        <w:rPr>
          <w:rFonts w:ascii="Mulish" w:hAnsi="Mulish" w:eastAsia="Mulish"/>
          <w:b/>
          <w:sz w:val="22"/>
        </w:rPr>
        <w:tab/>
      </w:r>
      <w:r>
        <w:rPr>
          <w:rFonts w:ascii="Mulish" w:hAnsi="Mulish" w:eastAsia="Mulish"/>
          <w:b/>
          <w:i w:val="0"/>
          <w:color w:val="000000"/>
          <w:sz w:val="22"/>
        </w:rPr>
        <w:t xml:space="preserve">profit and 0.32% of average advances </w:t>
      </w:r>
      <w:r>
        <w:rPr>
          <w:rFonts w:ascii="Mulish" w:hAnsi="Mulish" w:eastAsia="Mulish"/>
          <w:b/>
          <w:sz w:val="22"/>
        </w:rPr>
        <w:t xml:space="preserve"> </w:t>
      </w:r>
      <w:r>
        <w:rPr>
          <w:rFonts w:ascii="Mulish" w:hAnsi="Mulish" w:eastAsia="Mulish"/>
          <w:b/>
          <w:i w:val="0"/>
          <w:color w:val="000000"/>
          <w:sz w:val="22"/>
        </w:rPr>
        <w:t>10.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The Bank continues to hold contingency provisions of ₹13,100 crore at June 30, </w:t>
      </w:r>
      <w:r>
        <w:rPr>
          <w:rFonts w:ascii="Mulish" w:hAnsi="Mulish" w:eastAsia="Mulish"/>
          <w:b/>
          <w:sz w:val="22"/>
        </w:rPr>
        <w:tab/>
      </w:r>
      <w:r>
        <w:rPr>
          <w:rFonts w:ascii="Mulish" w:hAnsi="Mulish" w:eastAsia="Mulish"/>
          <w:b/>
          <w:i w:val="0"/>
          <w:color w:val="000000"/>
          <w:sz w:val="22"/>
        </w:rPr>
        <w:t xml:space="preserve">2026 </w:t>
      </w:r>
    </w:p>
    <w:p>
      <w:pPr>
        <w:autoSpaceDN w:val="0"/>
        <w:autoSpaceDE w:val="0"/>
        <w:widowControl/>
        <w:spacing w:line="245" w:lineRule="auto" w:before="280" w:after="0"/>
        <w:ind w:left="0" w:right="22" w:firstLine="0"/>
        <w:jc w:val="both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At ICICI Bank, customers remain at the heart of every initiative. I would like to share some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of the latest updates on AI that we are making to make banking simpler, safer, and more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convenient. </w:t>
      </w:r>
    </w:p>
    <w:p>
      <w:pPr>
        <w:autoSpaceDN w:val="0"/>
        <w:autoSpaceDE w:val="0"/>
        <w:widowControl/>
        <w:spacing w:line="245" w:lineRule="auto" w:before="280" w:after="0"/>
        <w:ind w:left="0" w:right="20" w:firstLine="0"/>
        <w:jc w:val="both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ICICI Bank has established a structured and disciplined approach to scale AI, with a focus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on long-term value creation, risk management and enterprise-wide adoption. The Bank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has invested in an enterprise AI platform, which serves as a secure environment for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development, hosting and deployment of AI and Generative AI use cases. </w:t>
      </w:r>
    </w:p>
    <w:p>
      <w:pPr>
        <w:autoSpaceDN w:val="0"/>
        <w:autoSpaceDE w:val="0"/>
        <w:widowControl/>
        <w:spacing w:line="245" w:lineRule="auto" w:before="280" w:after="0"/>
        <w:ind w:left="0" w:right="24" w:firstLine="0"/>
        <w:jc w:val="both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The Bank continues to invest in AI and Generative AI use cases across areas such as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portfolio monitoring, customer onboarding, fraud detection, document extraction and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summarisation, and customer servicing among others. These capabilities empower the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Bank to enhance customer communication, improve efficiency, achieve faster turnaround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time, support decision-making across functions and deliver seamless customer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experiences. </w:t>
      </w:r>
    </w:p>
    <w:p>
      <w:pPr>
        <w:autoSpaceDN w:val="0"/>
        <w:autoSpaceDE w:val="0"/>
        <w:widowControl/>
        <w:spacing w:line="245" w:lineRule="auto" w:before="278" w:after="0"/>
        <w:ind w:left="0" w:right="22" w:firstLine="0"/>
        <w:jc w:val="both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Our approach places emphasis on information security, data privacy and responsible AI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governance. We have implemented a comprehensive framework of guardrails, including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defining ringfenced areas for AI usage, human-in-the-loop oversight, stringent data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access controls and effective model governance protocols. Parallelly, the Bank continues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to invest in internal capability building, with focussed upskilling initiatives across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business, digital and technology teams intended to strengthen enterprise-wide readiness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and support sustainable scaling of AI capabilities across the organisation. </w:t>
      </w:r>
    </w:p>
    <w:p>
      <w:pPr>
        <w:autoSpaceDN w:val="0"/>
        <w:autoSpaceDE w:val="0"/>
        <w:widowControl/>
        <w:spacing w:line="245" w:lineRule="auto" w:before="280" w:after="0"/>
        <w:ind w:left="0" w:right="26" w:firstLine="0"/>
        <w:jc w:val="both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Going forward, we will continue to operate within our strategic framework while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focussing on micromarkets and ecosystems. The principles of “Fair to Customer, Fair to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Bank”, “One Bank, One Team” and “Return of Capital” will guide our operations. We focus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on building a culture where every employee in the Bank serves customers with humility </w:t>
      </w: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center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and upholds the values of brand ICICI. We aim to be the trusted financial services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provider of choice for our customers and deliver sustainable returns to our shareholders. </w:t>
      </w:r>
    </w:p>
    <w:p>
      <w:pPr>
        <w:autoSpaceDN w:val="0"/>
        <w:autoSpaceDE w:val="0"/>
        <w:widowControl/>
        <w:spacing w:line="221" w:lineRule="auto" w:before="280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With this, I conclude my opening remarks. I will be happy to take your questions. </w:t>
      </w:r>
    </w:p>
    <w:p>
      <w:pPr>
        <w:autoSpaceDN w:val="0"/>
        <w:autoSpaceDE w:val="0"/>
        <w:widowControl/>
        <w:spacing w:line="221" w:lineRule="auto" w:before="276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Moderator: </w:t>
      </w:r>
    </w:p>
    <w:p>
      <w:pPr>
        <w:autoSpaceDN w:val="0"/>
        <w:autoSpaceDE w:val="0"/>
        <w:widowControl/>
        <w:spacing w:line="245" w:lineRule="auto" w:before="280" w:after="0"/>
        <w:ind w:left="0" w:right="20" w:firstLine="0"/>
        <w:jc w:val="both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Thank you very much, sir. We will now begin the Q&amp;A session with Mr. Batra and Mr.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Banerjee. Anyone who wishes to ask a question may press ‘*’ and ‘1’ on their telephone.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If you wish to remove yourself from the question queue, you may press ‘*’ and ‘2’. Today's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announcement is on the bank's financial performance; hence we would like to request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you to ask questions related to that. Please write to the corporate communications team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separately for any other queries. </w:t>
      </w:r>
    </w:p>
    <w:p>
      <w:pPr>
        <w:autoSpaceDN w:val="0"/>
        <w:autoSpaceDE w:val="0"/>
        <w:widowControl/>
        <w:spacing w:line="245" w:lineRule="auto" w:before="280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Due to time constraints, I request all of you to ask two questions at a time. If you have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additional queries, you may join the queue again if time permits. Thank you. </w:t>
      </w:r>
    </w:p>
    <w:p>
      <w:pPr>
        <w:autoSpaceDN w:val="0"/>
        <w:autoSpaceDE w:val="0"/>
        <w:widowControl/>
        <w:spacing w:line="218" w:lineRule="auto" w:before="280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We will take our first question from Ritu Singh from CNBC-TV18. Please go ahead. </w:t>
      </w:r>
    </w:p>
    <w:p>
      <w:pPr>
        <w:autoSpaceDN w:val="0"/>
        <w:autoSpaceDE w:val="0"/>
        <w:widowControl/>
        <w:spacing w:line="221" w:lineRule="auto" w:before="280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Ritu Singh: </w:t>
      </w:r>
    </w:p>
    <w:p>
      <w:pPr>
        <w:autoSpaceDN w:val="0"/>
        <w:autoSpaceDE w:val="0"/>
        <w:widowControl/>
        <w:spacing w:line="245" w:lineRule="auto" w:before="276" w:after="0"/>
        <w:ind w:left="0" w:right="20" w:firstLine="0"/>
        <w:jc w:val="both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Good evening, Mr. Batra and Mr. Banerjee. First, I wanted to start by asking about your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margins that really stood out, especially compared to almost all other banks that have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reported numbers today. This further expansion, you have been able to achieve now at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almost 4.36%. Is this the normalised rate we should look at? How sustainable are these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levels? Do you have levers to further expand? That was the first part. </w:t>
      </w:r>
    </w:p>
    <w:p>
      <w:pPr>
        <w:autoSpaceDN w:val="0"/>
        <w:autoSpaceDE w:val="0"/>
        <w:widowControl/>
        <w:spacing w:line="245" w:lineRule="auto" w:before="280" w:after="0"/>
        <w:ind w:left="0" w:right="24" w:firstLine="0"/>
        <w:jc w:val="both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Second, this rise in slippages that we have seen substantially in the quarter from about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₹4,200-odd crore to about ₹5,500 crore. How much of this is seasonal? And are you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seeing any stress on account of what is happening in West Asia because this is the first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quarter when we have seen some of that impact come through? </w:t>
      </w:r>
    </w:p>
    <w:p>
      <w:pPr>
        <w:autoSpaceDN w:val="0"/>
        <w:autoSpaceDE w:val="0"/>
        <w:widowControl/>
        <w:spacing w:line="245" w:lineRule="auto" w:before="280" w:after="0"/>
        <w:ind w:left="0" w:right="20" w:firstLine="0"/>
        <w:jc w:val="both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And if I may add a question on loan growth as well, which has been pretty strong.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Corporate also seems to be doing well. What are the segments, of course, within your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risk-calibrated view, that you think are seeing higher credit demand that you believe will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drive incremental credit growth for the bank? </w:t>
      </w:r>
    </w:p>
    <w:p>
      <w:pPr>
        <w:autoSpaceDN w:val="0"/>
        <w:autoSpaceDE w:val="0"/>
        <w:widowControl/>
        <w:spacing w:line="221" w:lineRule="auto" w:before="280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Sandeep Batra: </w:t>
      </w:r>
    </w:p>
    <w:p>
      <w:pPr>
        <w:autoSpaceDN w:val="0"/>
        <w:autoSpaceDE w:val="0"/>
        <w:widowControl/>
        <w:spacing w:line="245" w:lineRule="auto" w:before="276" w:after="0"/>
        <w:ind w:left="0" w:right="20" w:firstLine="0"/>
        <w:jc w:val="both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Thank you, Ritu. There are lots of questions. First of all, I will start with the NIM question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that you asked. As we have reported the NII increased by about 12.7% year-on-year and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about 6.1% sequentially. This quarter we had the benefit of income tax refunds which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helped in the margin improvement. This was about eight basis points compared to about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five basis points in the previous quarter and seven bps in the Q1 of last year. The margins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in Q1 are also reflective of the benefits due to repricing of term deposits, impact of higher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interest refunds, offset partially by higher interest reversal on KCC portfolio. To your point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on outlook, I think the NIM trajectory would depend on a number of factors which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includes, the geopolitical developments, monetary policy, liquidity, loan growth, and loan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pricing. Our expectation of NIM is that, in FY27, it should be range-bound assuming no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rate movements. Of course, there will be some impact on account of FCNR(B) deposit </w:t>
      </w:r>
    </w:p>
    <w:p>
      <w:pPr>
        <w:autoSpaceDN w:val="0"/>
        <w:autoSpaceDE w:val="0"/>
        <w:widowControl/>
        <w:spacing w:line="245" w:lineRule="auto" w:before="0" w:after="0"/>
        <w:ind w:left="0" w:right="20" w:firstLine="0"/>
        <w:jc w:val="both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programme and loans against FCNR deposits, which could be slightly NIM dilutive. But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overall, as a bank, we would continue to look at leveraging growth, and as you have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rightly pointed out, risk-calibrated profits through optimising various levers where NIM is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clearly one of them. </w:t>
      </w:r>
    </w:p>
    <w:p>
      <w:pPr>
        <w:autoSpaceDN w:val="0"/>
        <w:autoSpaceDE w:val="0"/>
        <w:widowControl/>
        <w:spacing w:line="245" w:lineRule="auto" w:before="280" w:after="0"/>
        <w:ind w:left="0" w:right="20" w:firstLine="0"/>
        <w:jc w:val="both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Coming to your point on slippage, I think it will be better if we compare that number in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Q1’26 over Q1’27. I think there are seasonality impacts. If you look at that number, in Q1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2026 it was about ₹62 billion, which is now down to ₹55 billion. </w:t>
      </w:r>
    </w:p>
    <w:p>
      <w:pPr>
        <w:autoSpaceDN w:val="0"/>
        <w:autoSpaceDE w:val="0"/>
        <w:widowControl/>
        <w:spacing w:line="245" w:lineRule="auto" w:before="278" w:after="0"/>
        <w:ind w:left="0" w:right="22" w:firstLine="0"/>
        <w:jc w:val="both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Moving on to loan growth, as you are aware, we are seeing loan growth across all the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segments. In particular, corporate loans, we have seen some amount of sequential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pickup. From our point of view, we continue to have active engagements with our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corporate clients, and we continue to seek opportunities whichever meet within our risk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and reward thresholds. During the current quarter, in particular, I think there was a little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more demand on account of working capital and also, we have seen some kind of a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moderation in the bond markets and equity markets which has been an opportunity for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us to capitalise. So, I presume I have answered all your… </w:t>
      </w:r>
    </w:p>
    <w:p>
      <w:pPr>
        <w:autoSpaceDN w:val="0"/>
        <w:autoSpaceDE w:val="0"/>
        <w:widowControl/>
        <w:spacing w:line="221" w:lineRule="auto" w:before="280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Ritu Singh: </w:t>
      </w:r>
    </w:p>
    <w:p>
      <w:pPr>
        <w:autoSpaceDN w:val="0"/>
        <w:autoSpaceDE w:val="0"/>
        <w:widowControl/>
        <w:spacing w:line="245" w:lineRule="auto" w:before="276" w:after="0"/>
        <w:ind w:left="0" w:right="22" w:firstLine="0"/>
        <w:jc w:val="both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Mr. Batra, if you could also answer, the reason why there was a sequential rise in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slippages and even on FCNR since you bring it up, what is the target you think, how much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could the bank raise and what kind of leverage are you offering? </w:t>
      </w:r>
    </w:p>
    <w:p>
      <w:pPr>
        <w:autoSpaceDN w:val="0"/>
        <w:autoSpaceDE w:val="0"/>
        <w:widowControl/>
        <w:spacing w:line="218" w:lineRule="auto" w:before="280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Sandeep Batra: </w:t>
      </w:r>
    </w:p>
    <w:p>
      <w:pPr>
        <w:autoSpaceDN w:val="0"/>
        <w:autoSpaceDE w:val="0"/>
        <w:widowControl/>
        <w:spacing w:line="245" w:lineRule="auto" w:before="280" w:after="0"/>
        <w:ind w:left="0" w:right="22" w:firstLine="0"/>
        <w:jc w:val="both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So, that is seasonal. The first one is seasonal, so, I do not think so I would like to call out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anything specific on the quarter. So, it is just a question of seasonality. If you have to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actually….I mean, the difference is because of Kisan Credit Cards. </w:t>
      </w:r>
    </w:p>
    <w:p>
      <w:pPr>
        <w:autoSpaceDN w:val="0"/>
        <w:autoSpaceDE w:val="0"/>
        <w:widowControl/>
        <w:spacing w:line="245" w:lineRule="auto" w:before="280" w:after="0"/>
        <w:ind w:left="0" w:right="20" w:firstLine="0"/>
        <w:jc w:val="both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So, on FCNR(B), since we are talking about the subject, it is a great measure from a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government point of view and, of course it is still in the early stages, and this will evolve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over the couple of months. And, as you are aware, we will be tapping on the Indian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diaspora. We have got a large international presence, and we will leverage all our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international branches, especially those in West Asia. We have also tied up with various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partners for providing leverages. We will be raising bonds. We do expect the momentum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to pick up as we go along and, of course, we are committed to make this initiative of RBI,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a success. </w:t>
      </w:r>
    </w:p>
    <w:p>
      <w:pPr>
        <w:autoSpaceDN w:val="0"/>
        <w:autoSpaceDE w:val="0"/>
        <w:widowControl/>
        <w:spacing w:line="221" w:lineRule="auto" w:before="278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Ritu Singh: </w:t>
      </w:r>
    </w:p>
    <w:p>
      <w:pPr>
        <w:autoSpaceDN w:val="0"/>
        <w:autoSpaceDE w:val="0"/>
        <w:widowControl/>
        <w:spacing w:line="218" w:lineRule="auto" w:before="278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But no amount, Mr. Batra, you could share? </w:t>
      </w:r>
    </w:p>
    <w:p>
      <w:pPr>
        <w:autoSpaceDN w:val="0"/>
        <w:autoSpaceDE w:val="0"/>
        <w:widowControl/>
        <w:spacing w:line="221" w:lineRule="auto" w:before="280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Sandeep Batra: </w:t>
      </w:r>
    </w:p>
    <w:p>
      <w:pPr>
        <w:autoSpaceDN w:val="0"/>
        <w:autoSpaceDE w:val="0"/>
        <w:widowControl/>
        <w:spacing w:line="221" w:lineRule="auto" w:before="278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No, we cannot. It is very difficult to say at this point of time. </w:t>
      </w:r>
    </w:p>
    <w:p>
      <w:pPr>
        <w:autoSpaceDN w:val="0"/>
        <w:autoSpaceDE w:val="0"/>
        <w:widowControl/>
        <w:spacing w:line="218" w:lineRule="auto" w:before="278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Ritu Singh: </w:t>
      </w:r>
    </w:p>
    <w:p>
      <w:pPr>
        <w:autoSpaceDN w:val="0"/>
        <w:autoSpaceDE w:val="0"/>
        <w:widowControl/>
        <w:spacing w:line="221" w:lineRule="auto" w:before="280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Alright, thank you. </w:t>
      </w:r>
    </w:p>
    <w:p>
      <w:pPr>
        <w:autoSpaceDN w:val="0"/>
        <w:autoSpaceDE w:val="0"/>
        <w:widowControl/>
        <w:spacing w:line="218" w:lineRule="auto" w:before="0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Moderator: </w:t>
      </w:r>
    </w:p>
    <w:p>
      <w:pPr>
        <w:autoSpaceDN w:val="0"/>
        <w:autoSpaceDE w:val="0"/>
        <w:widowControl/>
        <w:spacing w:line="221" w:lineRule="auto" w:before="280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Thank you. Next question is from Siddhi Nayak from Bloomberg. Please go ahead. </w:t>
      </w:r>
    </w:p>
    <w:p>
      <w:pPr>
        <w:autoSpaceDN w:val="0"/>
        <w:autoSpaceDE w:val="0"/>
        <w:widowControl/>
        <w:spacing w:line="221" w:lineRule="auto" w:before="276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Siddhi Nayak: </w:t>
      </w:r>
    </w:p>
    <w:p>
      <w:pPr>
        <w:autoSpaceDN w:val="0"/>
        <w:autoSpaceDE w:val="0"/>
        <w:widowControl/>
        <w:spacing w:line="245" w:lineRule="auto" w:before="280" w:after="0"/>
        <w:ind w:left="0" w:right="22" w:firstLine="0"/>
        <w:jc w:val="both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Hi. I just wanted to take some of Ritu's questions forward. The 20% loan growth that we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have seen for you, I think it is among the highest in last few quarters. I wanted to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understand how sustainable is that and are you foreseeing any risks that could hamper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this kind of credit growth for ICICI and for the banking sector as well? </w:t>
      </w:r>
    </w:p>
    <w:p>
      <w:pPr>
        <w:autoSpaceDN w:val="0"/>
        <w:autoSpaceDE w:val="0"/>
        <w:widowControl/>
        <w:spacing w:line="221" w:lineRule="auto" w:before="280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Sandeep Batra: </w:t>
      </w:r>
    </w:p>
    <w:p>
      <w:pPr>
        <w:autoSpaceDN w:val="0"/>
        <w:autoSpaceDE w:val="0"/>
        <w:widowControl/>
        <w:spacing w:line="245" w:lineRule="auto" w:before="280" w:after="0"/>
        <w:ind w:left="0" w:right="20" w:firstLine="0"/>
        <w:jc w:val="both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I think the growth is reflective of the continuous momentum of economic activity and also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the impact of various policy initiatives which have been taken by the policymakers. From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our point of view, we continue to see growth across segments, whether it is mortgages,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rural portfolio, personal loans. We have also seen healthy growth in business banking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and for this quarter, as I already mentioned, there has been a good sequential pickup in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corporate loans. So, we continue to engage with the entire spectrum and wherever we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get opportunities, which meet our risk thresholds and meet the pricing framework that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we have, we are happy to lend. From our perspective, it is not only about the loan growth,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we look at customers on a 360 basis and the overall relationship with the customer and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within that framework we take various calls. So, we do have a strong balance sheet, and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we will continue to look at various opportunities as they come along. </w:t>
      </w:r>
    </w:p>
    <w:p>
      <w:pPr>
        <w:autoSpaceDN w:val="0"/>
        <w:autoSpaceDE w:val="0"/>
        <w:widowControl/>
        <w:spacing w:line="221" w:lineRule="auto" w:before="280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Siddhi Nayak: </w:t>
      </w:r>
    </w:p>
    <w:p>
      <w:pPr>
        <w:autoSpaceDN w:val="0"/>
        <w:autoSpaceDE w:val="0"/>
        <w:widowControl/>
        <w:spacing w:line="245" w:lineRule="auto" w:before="278" w:after="0"/>
        <w:ind w:left="0" w:right="20" w:firstLine="0"/>
        <w:jc w:val="both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Understood. On the FCNR part, if I may ask, sir, what is the kind of leverage that you are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offering and what is the indicative demand looking like? I mean, there are some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conflicting reports about inflows being very slow, some say, they have received lot of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inflows. You being the second largest private bank in the country, what is the demand on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ground that you are seeing for FCNR flows and if you could also share the leverage that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you are offering, sir, through this product? </w:t>
      </w:r>
    </w:p>
    <w:p>
      <w:pPr>
        <w:autoSpaceDN w:val="0"/>
        <w:autoSpaceDE w:val="0"/>
        <w:widowControl/>
        <w:spacing w:line="221" w:lineRule="auto" w:before="278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Sandeep Batra: </w:t>
      </w:r>
    </w:p>
    <w:p>
      <w:pPr>
        <w:autoSpaceDN w:val="0"/>
        <w:autoSpaceDE w:val="0"/>
        <w:widowControl/>
        <w:spacing w:line="245" w:lineRule="auto" w:before="280" w:after="0"/>
        <w:ind w:left="0" w:right="20" w:firstLine="0"/>
        <w:jc w:val="both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We will offer leverage based on the customer profile and whatever leverage our partners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are willing to offer. So, we are not giving any specific numbers at this point of time. But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rest assured, I think the customers will get a reasonable return, and from our point of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view, as I did mention, we are committed to making this scheme of the government and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RBI a success and we will continue to remain focussed on it. I think the rates will evolve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over a period of time. As you are reading various newspaper reports of various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competitive activities, from our point of view, as I mentioned, we are looking at leverage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from both our partner banks as well as raising bonds from our side and which will help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our customers. We do expect a decent pickup to happen over the next couple of weeks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and months. </w:t>
      </w:r>
    </w:p>
    <w:p>
      <w:pPr>
        <w:autoSpaceDN w:val="0"/>
        <w:autoSpaceDE w:val="0"/>
        <w:widowControl/>
        <w:spacing w:line="218" w:lineRule="auto" w:before="0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Siddhi Nayak: </w:t>
      </w:r>
    </w:p>
    <w:p>
      <w:pPr>
        <w:autoSpaceDN w:val="0"/>
        <w:autoSpaceDE w:val="0"/>
        <w:widowControl/>
        <w:spacing w:line="245" w:lineRule="auto" w:before="280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Sir, lastly, is there scope for you to raise or do you see the need to raise these FCNR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deposit rates beyond 6%. </w:t>
      </w:r>
    </w:p>
    <w:p>
      <w:pPr>
        <w:autoSpaceDN w:val="0"/>
        <w:autoSpaceDE w:val="0"/>
        <w:widowControl/>
        <w:spacing w:line="221" w:lineRule="auto" w:before="276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Sandeep Batra: </w:t>
      </w:r>
    </w:p>
    <w:p>
      <w:pPr>
        <w:autoSpaceDN w:val="0"/>
        <w:autoSpaceDE w:val="0"/>
        <w:widowControl/>
        <w:spacing w:line="245" w:lineRule="auto" w:before="280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At this point of time, I do not think so there is any need. I mean, we will see how it goes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along. </w:t>
      </w:r>
    </w:p>
    <w:p>
      <w:pPr>
        <w:autoSpaceDN w:val="0"/>
        <w:autoSpaceDE w:val="0"/>
        <w:widowControl/>
        <w:spacing w:line="221" w:lineRule="auto" w:before="280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Siddhi Nayak: </w:t>
      </w:r>
    </w:p>
    <w:p>
      <w:pPr>
        <w:autoSpaceDN w:val="0"/>
        <w:autoSpaceDE w:val="0"/>
        <w:widowControl/>
        <w:spacing w:line="218" w:lineRule="auto" w:before="280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Sure. Thank you so much. </w:t>
      </w:r>
    </w:p>
    <w:p>
      <w:pPr>
        <w:autoSpaceDN w:val="0"/>
        <w:autoSpaceDE w:val="0"/>
        <w:widowControl/>
        <w:spacing w:line="218" w:lineRule="auto" w:before="278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Moderator: </w:t>
      </w:r>
    </w:p>
    <w:p>
      <w:pPr>
        <w:autoSpaceDN w:val="0"/>
        <w:autoSpaceDE w:val="0"/>
        <w:widowControl/>
        <w:spacing w:line="221" w:lineRule="auto" w:before="280" w:after="0"/>
        <w:ind w:left="0" w:right="0" w:firstLine="0"/>
        <w:jc w:val="center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Thank you. Next question is from Sangita Mehta from Economic Times. Please go ahead. </w:t>
      </w:r>
    </w:p>
    <w:p>
      <w:pPr>
        <w:autoSpaceDN w:val="0"/>
        <w:autoSpaceDE w:val="0"/>
        <w:widowControl/>
        <w:spacing w:line="218" w:lineRule="auto" w:before="280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Sangita Mehta: </w:t>
      </w:r>
    </w:p>
    <w:p>
      <w:pPr>
        <w:autoSpaceDN w:val="0"/>
        <w:autoSpaceDE w:val="0"/>
        <w:widowControl/>
        <w:spacing w:line="245" w:lineRule="auto" w:before="278" w:after="0"/>
        <w:ind w:left="0" w:right="20" w:firstLine="0"/>
        <w:jc w:val="both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Thank you, sir. Sir, wanted to know what the estimated provision for ECL is. And the other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thing is that what is the corporate pipeline looking like, because you have already had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20% in first quarter. So, specifically corporate pipeline, and third is that what is the max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leverage that ICICI would be willing to provide to the best-rated customers? </w:t>
      </w:r>
    </w:p>
    <w:p>
      <w:pPr>
        <w:autoSpaceDN w:val="0"/>
        <w:autoSpaceDE w:val="0"/>
        <w:widowControl/>
        <w:spacing w:line="218" w:lineRule="auto" w:before="278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Sandeep Batra: </w:t>
      </w:r>
    </w:p>
    <w:p>
      <w:pPr>
        <w:autoSpaceDN w:val="0"/>
        <w:autoSpaceDE w:val="0"/>
        <w:widowControl/>
        <w:spacing w:line="245" w:lineRule="auto" w:before="280" w:after="0"/>
        <w:ind w:left="0" w:right="22" w:firstLine="0"/>
        <w:jc w:val="both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ECL is effective from 1st of April next year. Those are the numbers that we will start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sharing from a next year basis. At this point of time, we do not see a material impact on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an ongoing basis. As we mentioned in the last call, there would be some marginal impact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during the transition period for which we have got adequate provisions in place. We will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see. That is as far as ECL is concerned. Sorry, the second question was on? </w:t>
      </w:r>
    </w:p>
    <w:p>
      <w:pPr>
        <w:autoSpaceDN w:val="0"/>
        <w:autoSpaceDE w:val="0"/>
        <w:widowControl/>
        <w:spacing w:line="221" w:lineRule="auto" w:before="280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Sangita Mehta: </w:t>
      </w:r>
    </w:p>
    <w:p>
      <w:pPr>
        <w:autoSpaceDN w:val="0"/>
        <w:autoSpaceDE w:val="0"/>
        <w:widowControl/>
        <w:spacing w:line="221" w:lineRule="auto" w:before="280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Corporate pipeline. </w:t>
      </w:r>
    </w:p>
    <w:p>
      <w:pPr>
        <w:autoSpaceDN w:val="0"/>
        <w:autoSpaceDE w:val="0"/>
        <w:widowControl/>
        <w:spacing w:line="221" w:lineRule="auto" w:before="276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Sandeep Batra: </w:t>
      </w:r>
    </w:p>
    <w:p>
      <w:pPr>
        <w:autoSpaceDN w:val="0"/>
        <w:autoSpaceDE w:val="0"/>
        <w:widowControl/>
        <w:spacing w:line="245" w:lineRule="auto" w:before="280" w:after="0"/>
        <w:ind w:left="0" w:right="22" w:firstLine="0"/>
        <w:jc w:val="both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As I mentioned, we have been engaging with our corporate customers over a long period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of time and whenever we get opportunities which meet our risk and reward thresholds,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we are happy to lend to them. So, there are adequate opportunities and this quarter did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open up fairly good number of opportunities. So, we will continue to engage with our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corporate customers and as I have always mentioned, it is not necessarily about the loan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pipeline, we look at the overall 360 relationship with all customers, and in particular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corporate customers, and look at the whole ecosystems and take a decision based on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that. </w:t>
      </w:r>
    </w:p>
    <w:p>
      <w:pPr>
        <w:autoSpaceDN w:val="0"/>
        <w:autoSpaceDE w:val="0"/>
        <w:widowControl/>
        <w:spacing w:line="331" w:lineRule="auto" w:before="0" w:after="0"/>
        <w:ind w:left="0" w:right="2016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Sangita Mehta: </w:t>
      </w:r>
      <w:r>
        <w:rPr>
          <w:rFonts w:ascii="Mulish" w:hAnsi="Mulish" w:eastAsia="Mulish"/>
          <w:b/>
          <w:sz w:val="22"/>
        </w:rPr>
        <w:t xml:space="preserve">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And sir, what is the max leverage that you would be willing to offer? </w:t>
      </w:r>
    </w:p>
    <w:p>
      <w:pPr>
        <w:autoSpaceDN w:val="0"/>
        <w:autoSpaceDE w:val="0"/>
        <w:widowControl/>
        <w:spacing w:line="331" w:lineRule="auto" w:before="276" w:after="0"/>
        <w:ind w:left="0" w:right="4896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Sandeep Batra: </w:t>
      </w:r>
      <w:r>
        <w:rPr>
          <w:rFonts w:ascii="Mulish" w:hAnsi="Mulish" w:eastAsia="Mulish"/>
          <w:b/>
          <w:sz w:val="22"/>
        </w:rPr>
        <w:t xml:space="preserve">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We have not called that out at present. </w:t>
      </w:r>
    </w:p>
    <w:p>
      <w:pPr>
        <w:autoSpaceDN w:val="0"/>
        <w:autoSpaceDE w:val="0"/>
        <w:widowControl/>
        <w:spacing w:line="274" w:lineRule="auto" w:before="280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Anindya Banerjee: </w:t>
      </w:r>
      <w:r>
        <w:rPr>
          <w:rFonts w:ascii="Mulish" w:hAnsi="Mulish" w:eastAsia="Mulish"/>
          <w:b/>
          <w:sz w:val="22"/>
        </w:rPr>
        <w:t xml:space="preserve">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Well, it will be at calibrated levels, and we will look at what is the leverage that we will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provide, and as Sandeep mentioned, what our partner banks may provide and there will,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of course, be some unleveraged inflows as well. </w:t>
      </w:r>
    </w:p>
    <w:p>
      <w:pPr>
        <w:autoSpaceDN w:val="0"/>
        <w:autoSpaceDE w:val="0"/>
        <w:widowControl/>
        <w:spacing w:line="331" w:lineRule="auto" w:before="278" w:after="0"/>
        <w:ind w:left="0" w:right="1584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Sangita Mehta: </w:t>
      </w:r>
      <w:r>
        <w:rPr>
          <w:rFonts w:ascii="Mulish" w:hAnsi="Mulish" w:eastAsia="Mulish"/>
          <w:b/>
          <w:sz w:val="22"/>
        </w:rPr>
        <w:t xml:space="preserve">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Have you tied up any line of credit or bilateral loans in the last 1 month? </w:t>
      </w:r>
    </w:p>
    <w:p>
      <w:pPr>
        <w:autoSpaceDN w:val="0"/>
        <w:autoSpaceDE w:val="0"/>
        <w:widowControl/>
        <w:spacing w:line="264" w:lineRule="auto" w:before="280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Anindya Banerjee: </w:t>
      </w:r>
      <w:r>
        <w:rPr>
          <w:rFonts w:ascii="Mulish" w:hAnsi="Mulish" w:eastAsia="Mulish"/>
          <w:b/>
          <w:sz w:val="22"/>
        </w:rPr>
        <w:t xml:space="preserve">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So, these are all evolving things, and this is an activity which has started effectively only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towards the end of June, once all the FAQs etc. had come out. So, it will evolve over the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second quarter and, of course, when we do the second quarter results, we will have a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full picture. </w:t>
      </w:r>
    </w:p>
    <w:p>
      <w:pPr>
        <w:autoSpaceDN w:val="0"/>
        <w:autoSpaceDE w:val="0"/>
        <w:widowControl/>
        <w:spacing w:line="293" w:lineRule="auto" w:before="278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Sangita Mehta: </w:t>
      </w:r>
      <w:r>
        <w:rPr>
          <w:rFonts w:ascii="Mulish" w:hAnsi="Mulish" w:eastAsia="Mulish"/>
          <w:b/>
          <w:sz w:val="22"/>
        </w:rPr>
        <w:t xml:space="preserve">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Okay. Just one last thing, can you share how much you have raised so far in the last 1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month under FCNR(B)? </w:t>
      </w:r>
    </w:p>
    <w:p>
      <w:pPr>
        <w:autoSpaceDN w:val="0"/>
        <w:autoSpaceDE w:val="0"/>
        <w:widowControl/>
        <w:spacing w:line="264" w:lineRule="auto" w:before="280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Anindya Banerjee: </w:t>
      </w:r>
      <w:r>
        <w:rPr>
          <w:rFonts w:ascii="Mulish" w:hAnsi="Mulish" w:eastAsia="Mulish"/>
          <w:b/>
          <w:sz w:val="22"/>
        </w:rPr>
        <w:t xml:space="preserve">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As I said, these details would be shared in the second quarter. Maybe at some point of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time, during the quarter as this evolves, because it is still very early days. Maybe some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systemic numbers will start getting published, but from our perspective, it is a quarterly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result angle. </w:t>
      </w:r>
    </w:p>
    <w:p>
      <w:pPr>
        <w:autoSpaceDN w:val="0"/>
        <w:autoSpaceDE w:val="0"/>
        <w:widowControl/>
        <w:spacing w:line="331" w:lineRule="auto" w:before="276" w:after="0"/>
        <w:ind w:left="0" w:right="720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Sangita Mehta: </w:t>
      </w:r>
      <w:r>
        <w:rPr>
          <w:rFonts w:ascii="Mulish" w:hAnsi="Mulish" w:eastAsia="Mulish"/>
          <w:b/>
          <w:sz w:val="22"/>
        </w:rPr>
        <w:t xml:space="preserve">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Okay. Thank you. </w:t>
      </w:r>
    </w:p>
    <w:p>
      <w:pPr>
        <w:autoSpaceDN w:val="0"/>
        <w:autoSpaceDE w:val="0"/>
        <w:widowControl/>
        <w:spacing w:line="293" w:lineRule="auto" w:before="280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Moderator: </w:t>
      </w:r>
      <w:r>
        <w:rPr>
          <w:rFonts w:ascii="Mulish" w:hAnsi="Mulish" w:eastAsia="Mulish"/>
          <w:b/>
          <w:sz w:val="22"/>
        </w:rPr>
        <w:t xml:space="preserve">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Thank you. We will take our next question from Shivam Khilar from NDTV Profit. Please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go ahead. </w:t>
      </w:r>
    </w:p>
    <w:p>
      <w:pPr>
        <w:autoSpaceDN w:val="0"/>
        <w:autoSpaceDE w:val="0"/>
        <w:widowControl/>
        <w:spacing w:line="293" w:lineRule="auto" w:before="280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Shivam Khilar: </w:t>
      </w:r>
      <w:r>
        <w:rPr>
          <w:rFonts w:ascii="Mulish" w:hAnsi="Mulish" w:eastAsia="Mulish"/>
          <w:b/>
          <w:sz w:val="22"/>
        </w:rPr>
        <w:t xml:space="preserve">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My question is on the corporate loan book growth and target going forward....working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capital requirement. So, what will be the growth rate that the bank is targeting? </w:t>
      </w:r>
    </w:p>
    <w:p>
      <w:pPr>
        <w:autoSpaceDN w:val="0"/>
        <w:autoSpaceDE w:val="0"/>
        <w:widowControl/>
        <w:spacing w:line="218" w:lineRule="auto" w:before="0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Sandeep Batra: </w:t>
      </w:r>
    </w:p>
    <w:p>
      <w:pPr>
        <w:autoSpaceDN w:val="0"/>
        <w:autoSpaceDE w:val="0"/>
        <w:widowControl/>
        <w:spacing w:line="245" w:lineRule="auto" w:before="280" w:after="0"/>
        <w:ind w:left="0" w:right="20" w:firstLine="0"/>
        <w:jc w:val="both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Shivam, as we have always said that we do not have any targets across any segment,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and in particular, corporate loan as well. We look at opportunities and, at the cost of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repeating, whenever we find opportunities which meet our risk and reward and pricing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thresholds, we are happy to lend, and we are focussed on customer 360 and try to access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the overall ecosystem. </w:t>
      </w:r>
    </w:p>
    <w:p>
      <w:pPr>
        <w:autoSpaceDN w:val="0"/>
        <w:autoSpaceDE w:val="0"/>
        <w:widowControl/>
        <w:spacing w:line="221" w:lineRule="auto" w:before="278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Shivam Khilar: </w:t>
      </w:r>
    </w:p>
    <w:p>
      <w:pPr>
        <w:autoSpaceDN w:val="0"/>
        <w:autoSpaceDE w:val="0"/>
        <w:widowControl/>
        <w:spacing w:line="245" w:lineRule="auto" w:before="278" w:after="0"/>
        <w:ind w:left="0" w:right="22" w:firstLine="0"/>
        <w:jc w:val="both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And sir, my second question is regarding the margin’s trajectory going forward. As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management was expecting that the margins could be in range-bound level previously,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but recently the margins have seen a slight improvement. So, what could be the margin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trajectory going forward from here on? </w:t>
      </w:r>
    </w:p>
    <w:p>
      <w:pPr>
        <w:autoSpaceDN w:val="0"/>
        <w:autoSpaceDE w:val="0"/>
        <w:widowControl/>
        <w:spacing w:line="221" w:lineRule="auto" w:before="280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Sandeep Batra: </w:t>
      </w:r>
    </w:p>
    <w:p>
      <w:pPr>
        <w:autoSpaceDN w:val="0"/>
        <w:autoSpaceDE w:val="0"/>
        <w:widowControl/>
        <w:spacing w:line="245" w:lineRule="auto" w:before="280" w:after="0"/>
        <w:ind w:left="0" w:right="20" w:firstLine="0"/>
        <w:jc w:val="both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As I mentioned earlier, this is going to be range-bound and I think I have already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responded to that question, so at the cost of repeating I will mention. We do expect it to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be range-bound and of course it is going to get impacted by many things like monetary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policy, liquidity, etc. It could well be a little bit diluted because of the FCNR deposits that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we are going to be raising. But we will continue to leverage. As far as we are concerned,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we are looking at increasing the risk-calibrated profit using all the levers which go into it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and, in particular, NIM is an important part of that. </w:t>
      </w:r>
    </w:p>
    <w:p>
      <w:pPr>
        <w:autoSpaceDN w:val="0"/>
        <w:autoSpaceDE w:val="0"/>
        <w:widowControl/>
        <w:spacing w:line="221" w:lineRule="auto" w:before="280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Shivam Khilar: </w:t>
      </w:r>
    </w:p>
    <w:p>
      <w:pPr>
        <w:autoSpaceDN w:val="0"/>
        <w:autoSpaceDE w:val="0"/>
        <w:widowControl/>
        <w:spacing w:line="245" w:lineRule="auto" w:before="278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And sir, if I could squeeze one more question in regarding the cost of funds. Do you see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the cost of funds trajectory declining, going forward? </w:t>
      </w:r>
    </w:p>
    <w:p>
      <w:pPr>
        <w:autoSpaceDN w:val="0"/>
        <w:autoSpaceDE w:val="0"/>
        <w:widowControl/>
        <w:spacing w:line="218" w:lineRule="auto" w:before="278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Sandeep Batra: </w:t>
      </w:r>
    </w:p>
    <w:p>
      <w:pPr>
        <w:autoSpaceDN w:val="0"/>
        <w:autoSpaceDE w:val="0"/>
        <w:widowControl/>
        <w:spacing w:line="245" w:lineRule="auto" w:before="280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It is very difficult to make that statement. It again depends on all the things that I really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talked about. At this point of time, we expect this to be range-bound. </w:t>
      </w:r>
    </w:p>
    <w:p>
      <w:pPr>
        <w:autoSpaceDN w:val="0"/>
        <w:autoSpaceDE w:val="0"/>
        <w:widowControl/>
        <w:spacing w:line="221" w:lineRule="auto" w:before="280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Moderator: </w:t>
      </w:r>
    </w:p>
    <w:p>
      <w:pPr>
        <w:autoSpaceDN w:val="0"/>
        <w:autoSpaceDE w:val="0"/>
        <w:widowControl/>
        <w:spacing w:line="221" w:lineRule="auto" w:before="276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Thank you. Next question is from Mayur Shetty from Times of India. Please go ahead. </w:t>
      </w:r>
    </w:p>
    <w:p>
      <w:pPr>
        <w:autoSpaceDN w:val="0"/>
        <w:autoSpaceDE w:val="0"/>
        <w:widowControl/>
        <w:spacing w:line="218" w:lineRule="auto" w:before="280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Mayur Shetty: </w:t>
      </w:r>
    </w:p>
    <w:p>
      <w:pPr>
        <w:autoSpaceDN w:val="0"/>
        <w:autoSpaceDE w:val="0"/>
        <w:widowControl/>
        <w:spacing w:line="245" w:lineRule="auto" w:before="280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Thank you. I had a question on gold loans. Could you share the size of your gold loan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book and also the year-on-year growth rate? </w:t>
      </w:r>
    </w:p>
    <w:p>
      <w:pPr>
        <w:autoSpaceDN w:val="0"/>
        <w:autoSpaceDE w:val="0"/>
        <w:widowControl/>
        <w:spacing w:line="221" w:lineRule="auto" w:before="278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Sandeep Batra: </w:t>
      </w:r>
    </w:p>
    <w:p>
      <w:pPr>
        <w:autoSpaceDN w:val="0"/>
        <w:autoSpaceDE w:val="0"/>
        <w:widowControl/>
        <w:spacing w:line="245" w:lineRule="auto" w:before="278" w:after="0"/>
        <w:ind w:left="0" w:right="20" w:firstLine="0"/>
        <w:jc w:val="both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Mayur, we do not give specifically, but this is part of our rural portfolio. A substantial part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of our rural portfolio is actually gold loan. The overall rural portfolio has grown by 35%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year-on-year. And, from our perspective, gold loan is just a product. We are focussed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more on the customer. Whenever we get opportunities to give loans to good customers, </w:t>
      </w: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there are various products and options which are available. So, this is part of that overall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customer-centric approach that we have been talking about. </w:t>
      </w:r>
    </w:p>
    <w:p>
      <w:pPr>
        <w:autoSpaceDN w:val="0"/>
        <w:autoSpaceDE w:val="0"/>
        <w:widowControl/>
        <w:spacing w:line="221" w:lineRule="auto" w:before="280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Mayur Shetty: </w:t>
      </w:r>
    </w:p>
    <w:p>
      <w:pPr>
        <w:autoSpaceDN w:val="0"/>
        <w:autoSpaceDE w:val="0"/>
        <w:widowControl/>
        <w:spacing w:line="221" w:lineRule="auto" w:before="276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So, it is not a part of the personal loans? </w:t>
      </w:r>
    </w:p>
    <w:p>
      <w:pPr>
        <w:autoSpaceDN w:val="0"/>
        <w:autoSpaceDE w:val="0"/>
        <w:widowControl/>
        <w:spacing w:line="218" w:lineRule="auto" w:before="280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Sandeep Batra: </w:t>
      </w:r>
    </w:p>
    <w:p>
      <w:pPr>
        <w:autoSpaceDN w:val="0"/>
        <w:autoSpaceDE w:val="0"/>
        <w:widowControl/>
        <w:spacing w:line="245" w:lineRule="auto" w:before="280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No, it is part of the rural portfolio that we are giving, and a substantial portion of that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you can attribute to gold. </w:t>
      </w:r>
    </w:p>
    <w:p>
      <w:pPr>
        <w:autoSpaceDN w:val="0"/>
        <w:autoSpaceDE w:val="0"/>
        <w:widowControl/>
        <w:spacing w:line="218" w:lineRule="auto" w:before="280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Mayur Shetty: </w:t>
      </w:r>
    </w:p>
    <w:p>
      <w:pPr>
        <w:autoSpaceDN w:val="0"/>
        <w:autoSpaceDE w:val="0"/>
        <w:widowControl/>
        <w:spacing w:line="218" w:lineRule="auto" w:before="278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Okay. Okay. Thank you. </w:t>
      </w:r>
    </w:p>
    <w:p>
      <w:pPr>
        <w:autoSpaceDN w:val="0"/>
        <w:autoSpaceDE w:val="0"/>
        <w:widowControl/>
        <w:spacing w:line="221" w:lineRule="auto" w:before="280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Moderator: </w:t>
      </w:r>
    </w:p>
    <w:p>
      <w:pPr>
        <w:autoSpaceDN w:val="0"/>
        <w:autoSpaceDE w:val="0"/>
        <w:widowControl/>
        <w:spacing w:line="218" w:lineRule="auto" w:before="280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Thank you. Next question is from Hamsini Karthik from Moneycontrol. Please go ahead. </w:t>
      </w:r>
    </w:p>
    <w:p>
      <w:pPr>
        <w:autoSpaceDN w:val="0"/>
        <w:autoSpaceDE w:val="0"/>
        <w:widowControl/>
        <w:spacing w:line="218" w:lineRule="auto" w:before="278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Hamsini Karthik: </w:t>
      </w:r>
    </w:p>
    <w:p>
      <w:pPr>
        <w:autoSpaceDN w:val="0"/>
        <w:autoSpaceDE w:val="0"/>
        <w:widowControl/>
        <w:spacing w:line="245" w:lineRule="auto" w:before="280" w:after="0"/>
        <w:ind w:left="0" w:right="20" w:firstLine="0"/>
        <w:jc w:val="both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Hi, sir. Good evening. Two questions. One, for almost four quarters in a row, ICICI Bank's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corporate loan growth has sort of exceeded the retail book's performance. Would it be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fair to say that, at a bank level, you are more comfortable today with corporate portfolio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versus retail, that is also where the strategy is largely getting headed to. Would that be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a reasonable assumption to make? I will come back with my next question, sir </w:t>
      </w:r>
    </w:p>
    <w:p>
      <w:pPr>
        <w:autoSpaceDN w:val="0"/>
        <w:autoSpaceDE w:val="0"/>
        <w:widowControl/>
        <w:spacing w:line="218" w:lineRule="auto" w:before="280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Sandeep Batra: </w:t>
      </w:r>
    </w:p>
    <w:p>
      <w:pPr>
        <w:autoSpaceDN w:val="0"/>
        <w:autoSpaceDE w:val="0"/>
        <w:widowControl/>
        <w:spacing w:line="245" w:lineRule="auto" w:before="280" w:after="0"/>
        <w:ind w:left="0" w:right="20" w:firstLine="0"/>
        <w:jc w:val="both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Okay. Hamsini, as we have been talking about, for a bank, we look at cash flows. Our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objective is to look at good quality customers, whether they come from corporate,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business banking, or retail is not so important. Whichever segment gives results which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meets the credit parameters, which meets the return parameters, we are happy to grow.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What you are seeing is more an outcome of working with good quality customers. We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do not have any particular target like what portion of our book should be corporate or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retail or business banking. These numbers can well be varied. Corporate loans had not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been growing in the past for various reasons which we have talked about. Recently, of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course, there have been opportunities, which is a function of the increased working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capital requirement by the corporate books as well as moderation, which we have seen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in the equity markets as well as in the bond markets. Further, I think the corporate book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also, we have to get a reasonable pricing, and it has to meet our credit thresholds. As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long as these two things are met, we are happy to lend to that segment. </w:t>
      </w:r>
    </w:p>
    <w:p>
      <w:pPr>
        <w:autoSpaceDN w:val="0"/>
        <w:autoSpaceDE w:val="0"/>
        <w:widowControl/>
        <w:spacing w:line="221" w:lineRule="auto" w:before="280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Hamsini Karthik: </w:t>
      </w:r>
    </w:p>
    <w:p>
      <w:pPr>
        <w:autoSpaceDN w:val="0"/>
        <w:autoSpaceDE w:val="0"/>
        <w:widowControl/>
        <w:spacing w:line="221" w:lineRule="auto" w:before="278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So, you are comfortable on the pricing side as well in the corporate segment? </w:t>
      </w:r>
    </w:p>
    <w:p>
      <w:pPr>
        <w:autoSpaceDN w:val="0"/>
        <w:autoSpaceDE w:val="0"/>
        <w:widowControl/>
        <w:spacing w:line="218" w:lineRule="auto" w:before="0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Sandeep Batra: </w:t>
      </w:r>
    </w:p>
    <w:p>
      <w:pPr>
        <w:autoSpaceDN w:val="0"/>
        <w:autoSpaceDE w:val="0"/>
        <w:widowControl/>
        <w:spacing w:line="221" w:lineRule="auto" w:before="280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We will not lend if we are not comfortable. </w:t>
      </w:r>
    </w:p>
    <w:p>
      <w:pPr>
        <w:autoSpaceDN w:val="0"/>
        <w:autoSpaceDE w:val="0"/>
        <w:widowControl/>
        <w:spacing w:line="221" w:lineRule="auto" w:before="276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Hamsini Karthik: </w:t>
      </w:r>
    </w:p>
    <w:p>
      <w:pPr>
        <w:autoSpaceDN w:val="0"/>
        <w:autoSpaceDE w:val="0"/>
        <w:widowControl/>
        <w:spacing w:line="245" w:lineRule="auto" w:before="280" w:after="0"/>
        <w:ind w:left="0" w:right="20" w:firstLine="0"/>
        <w:jc w:val="both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Fair point. My next question pertains to FCNR(B). I have heard out whatever you said but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let me try asking it a little differently. Most of the banks currently are offering leverage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between 9% to 11%, 12%. The kind of leverage that ICICI Bank offers, would it be at par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with what your competitors are offering or are you a little more cautious than what the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current run rate is? And as an add-on to that particular question, do you expect your cost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of funds to come down maybe two quarters or three quarters down the line, because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there is a possibility of you to replenish some high-cost bulky deposits with these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FCNR(B)s? </w:t>
      </w:r>
    </w:p>
    <w:p>
      <w:pPr>
        <w:autoSpaceDN w:val="0"/>
        <w:autoSpaceDE w:val="0"/>
        <w:widowControl/>
        <w:spacing w:line="221" w:lineRule="auto" w:before="280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Sandeep Batra: </w:t>
      </w:r>
    </w:p>
    <w:p>
      <w:pPr>
        <w:autoSpaceDN w:val="0"/>
        <w:autoSpaceDE w:val="0"/>
        <w:widowControl/>
        <w:spacing w:line="245" w:lineRule="auto" w:before="280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Hamsini, in a way we answered this when I was responding to the NIM question. Overall,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FCNR deposit programme would be marginally NIM dilutive. So, that is about it. </w:t>
      </w:r>
    </w:p>
    <w:p>
      <w:pPr>
        <w:autoSpaceDN w:val="0"/>
        <w:autoSpaceDE w:val="0"/>
        <w:widowControl/>
        <w:spacing w:line="221" w:lineRule="auto" w:before="280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Anindya Banerjee: </w:t>
      </w:r>
    </w:p>
    <w:p>
      <w:pPr>
        <w:autoSpaceDN w:val="0"/>
        <w:autoSpaceDE w:val="0"/>
        <w:widowControl/>
        <w:spacing w:line="245" w:lineRule="auto" w:before="276" w:after="0"/>
        <w:ind w:left="0" w:right="20" w:firstLine="0"/>
        <w:jc w:val="both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On the leverage question, it will be calibrated. We are not giving a particular number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because it is also early days, yet we will see how this thing evolves. But as in all our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businesses, we will be calibrated and reasonable about it. On the NIM, as Sandeep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explained in detail, we expect it to be range-bound. What the impact of the FCNR (B)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programme is, we will have to see. Of course, it will be an earnings accretive programme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because of the growth in offshore balance sheet. There may be some marginal impact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on NIM. </w:t>
      </w:r>
    </w:p>
    <w:p>
      <w:pPr>
        <w:autoSpaceDN w:val="0"/>
        <w:autoSpaceDE w:val="0"/>
        <w:widowControl/>
        <w:spacing w:line="218" w:lineRule="auto" w:before="278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Hamsini Karthik: </w:t>
      </w:r>
    </w:p>
    <w:p>
      <w:pPr>
        <w:autoSpaceDN w:val="0"/>
        <w:autoSpaceDE w:val="0"/>
        <w:widowControl/>
        <w:spacing w:line="221" w:lineRule="auto" w:before="280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Okay. Thank you. </w:t>
      </w:r>
    </w:p>
    <w:p>
      <w:pPr>
        <w:autoSpaceDN w:val="0"/>
        <w:autoSpaceDE w:val="0"/>
        <w:widowControl/>
        <w:spacing w:line="218" w:lineRule="auto" w:before="280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Moderator: </w:t>
      </w:r>
    </w:p>
    <w:p>
      <w:pPr>
        <w:autoSpaceDN w:val="0"/>
        <w:autoSpaceDE w:val="0"/>
        <w:widowControl/>
        <w:spacing w:line="245" w:lineRule="auto" w:before="278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Thank you. Next question is from Subrata Panda from Business Standard. Please go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ahead. </w:t>
      </w:r>
    </w:p>
    <w:p>
      <w:pPr>
        <w:autoSpaceDN w:val="0"/>
        <w:autoSpaceDE w:val="0"/>
        <w:widowControl/>
        <w:spacing w:line="218" w:lineRule="auto" w:before="280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Subrata Panda: </w:t>
      </w:r>
    </w:p>
    <w:p>
      <w:pPr>
        <w:autoSpaceDN w:val="0"/>
        <w:autoSpaceDE w:val="0"/>
        <w:widowControl/>
        <w:spacing w:line="245" w:lineRule="auto" w:before="280" w:after="0"/>
        <w:ind w:left="0" w:right="20" w:firstLine="0"/>
        <w:jc w:val="both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Hi. I had couple of questions. First is on your plans to tap the overseas bond market. You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have guided for a $2.5 billion borrowing programme. So, how much of it would be under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the RBI's concessional swap window? Also, why have you not tapped the market as of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now? We have seen most of your competitors have already. Is the spread more right now?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Is that why you are not tapping it? If so, what is your strategy on the acquisition financing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front? </w:t>
      </w:r>
    </w:p>
    <w:p>
      <w:pPr>
        <w:autoSpaceDN w:val="0"/>
        <w:autoSpaceDE w:val="0"/>
        <w:widowControl/>
        <w:spacing w:line="218" w:lineRule="auto" w:before="0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Anindya Banerjee: </w:t>
      </w:r>
    </w:p>
    <w:p>
      <w:pPr>
        <w:autoSpaceDN w:val="0"/>
        <w:autoSpaceDE w:val="0"/>
        <w:widowControl/>
        <w:spacing w:line="245" w:lineRule="auto" w:before="280" w:after="0"/>
        <w:ind w:left="0" w:right="20" w:firstLine="0"/>
        <w:jc w:val="both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So, on the first question, each bank has its own timing and its own approach. We are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looking at various options, and we have taken this enabling approval. So, we will see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how it goes. But there is nothing specific to the timing as such. It is just the normal process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of planning and decision-making that would happen in any organisation. </w:t>
      </w:r>
    </w:p>
    <w:p>
      <w:pPr>
        <w:autoSpaceDN w:val="0"/>
        <w:autoSpaceDE w:val="0"/>
        <w:widowControl/>
        <w:spacing w:line="245" w:lineRule="auto" w:before="278" w:after="0"/>
        <w:ind w:left="0" w:right="24" w:firstLine="0"/>
        <w:jc w:val="both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On the acquisition financing, there is nothing specific to say. I mean, again, as in all our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businesses, we would be focussed on the counterparty risk. And for counterparties with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whom we are fine to do business, we would be fine to do this product as well. </w:t>
      </w:r>
    </w:p>
    <w:p>
      <w:pPr>
        <w:autoSpaceDN w:val="0"/>
        <w:autoSpaceDE w:val="0"/>
        <w:widowControl/>
        <w:spacing w:line="218" w:lineRule="auto" w:before="278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Subrata Panda: </w:t>
      </w:r>
    </w:p>
    <w:p>
      <w:pPr>
        <w:autoSpaceDN w:val="0"/>
        <w:autoSpaceDE w:val="0"/>
        <w:widowControl/>
        <w:spacing w:line="245" w:lineRule="auto" w:before="280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So, there is no specific number as to how much you will raise under the RBI's concessional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swap window? </w:t>
      </w:r>
    </w:p>
    <w:p>
      <w:pPr>
        <w:autoSpaceDN w:val="0"/>
        <w:autoSpaceDE w:val="0"/>
        <w:widowControl/>
        <w:spacing w:line="218" w:lineRule="auto" w:before="280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Anindya Banerjee: </w:t>
      </w:r>
    </w:p>
    <w:p>
      <w:pPr>
        <w:autoSpaceDN w:val="0"/>
        <w:autoSpaceDE w:val="0"/>
        <w:widowControl/>
        <w:spacing w:line="218" w:lineRule="auto" w:before="278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No, all these things will evolve over the next two months. </w:t>
      </w:r>
    </w:p>
    <w:p>
      <w:pPr>
        <w:autoSpaceDN w:val="0"/>
        <w:autoSpaceDE w:val="0"/>
        <w:widowControl/>
        <w:spacing w:line="221" w:lineRule="auto" w:before="280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Subrata Panda: </w:t>
      </w:r>
    </w:p>
    <w:p>
      <w:pPr>
        <w:autoSpaceDN w:val="0"/>
        <w:autoSpaceDE w:val="0"/>
        <w:widowControl/>
        <w:spacing w:line="218" w:lineRule="auto" w:before="280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Understood. Thanks. </w:t>
      </w:r>
    </w:p>
    <w:p>
      <w:pPr>
        <w:autoSpaceDN w:val="0"/>
        <w:autoSpaceDE w:val="0"/>
        <w:widowControl/>
        <w:spacing w:line="221" w:lineRule="auto" w:before="280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Moderator: </w:t>
      </w:r>
    </w:p>
    <w:p>
      <w:pPr>
        <w:autoSpaceDN w:val="0"/>
        <w:autoSpaceDE w:val="0"/>
        <w:widowControl/>
        <w:spacing w:line="218" w:lineRule="auto" w:before="278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Thank you. We have our next question from Ashish Agashe from PTI. Please go ahead. </w:t>
      </w:r>
    </w:p>
    <w:p>
      <w:pPr>
        <w:autoSpaceDN w:val="0"/>
        <w:autoSpaceDE w:val="0"/>
        <w:widowControl/>
        <w:spacing w:line="218" w:lineRule="auto" w:before="280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Ashish Agashe: </w:t>
      </w:r>
    </w:p>
    <w:p>
      <w:pPr>
        <w:autoSpaceDN w:val="0"/>
        <w:autoSpaceDE w:val="0"/>
        <w:widowControl/>
        <w:spacing w:line="245" w:lineRule="auto" w:before="280" w:after="0"/>
        <w:ind w:left="0" w:right="20" w:firstLine="0"/>
        <w:jc w:val="both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Thank you so much. Sir, just from the loan growth for FY27 perspective, you mentioned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in the context of corporate loans that there is adequate demand which is being seen. So,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is this about 20% overall loan growth, how sustainable is it from a fiscal standpoint? And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also, where is this demand really coming up from? Is there any bit of greenfield or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brownfield there? And given your calibrated approach to lending, what are the segments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you are staying away from right now? </w:t>
      </w:r>
    </w:p>
    <w:p>
      <w:pPr>
        <w:autoSpaceDN w:val="0"/>
        <w:autoSpaceDE w:val="0"/>
        <w:widowControl/>
        <w:spacing w:line="221" w:lineRule="auto" w:before="280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Sandeep Batra: </w:t>
      </w:r>
    </w:p>
    <w:p>
      <w:pPr>
        <w:autoSpaceDN w:val="0"/>
        <w:autoSpaceDE w:val="0"/>
        <w:widowControl/>
        <w:spacing w:line="245" w:lineRule="auto" w:before="276" w:after="0"/>
        <w:ind w:left="0" w:right="22" w:firstLine="0"/>
        <w:jc w:val="both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We look at good quality customers. Coming from any particular segment, as long as we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are able to find good quality customers across segments, we are able to lend. We really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do not give a guidance on how it will shape out in the future. This quarter there were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opportunities, we have been able to seize them, and we will see how it goes along in the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future. So, there is nothing specific to call out. There is no change of strategy, and we will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continue to scan the markets, we will continue to calibrate our risk and wherever we see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opportunities, we are happy to lend. </w:t>
      </w:r>
    </w:p>
    <w:p>
      <w:pPr>
        <w:autoSpaceDN w:val="0"/>
        <w:autoSpaceDE w:val="0"/>
        <w:widowControl/>
        <w:spacing w:line="218" w:lineRule="auto" w:before="0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Ashish Agashe: </w:t>
      </w:r>
    </w:p>
    <w:p>
      <w:pPr>
        <w:autoSpaceDN w:val="0"/>
        <w:autoSpaceDE w:val="0"/>
        <w:widowControl/>
        <w:spacing w:line="245" w:lineRule="auto" w:before="280" w:after="0"/>
        <w:ind w:left="0" w:right="20" w:firstLine="0"/>
        <w:jc w:val="both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Okay, sir. Earlier in your initial comments, you spoke about a bank-wide upskilling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programme on AI and how you have invested on the AI front. So, what sort of impact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would it have on hiring, replacement of retiring employees going forward, sir? Should we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look at a leaner organisation going ahead? How expensive is this entire AI bit, such that,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even the leaner aspect does not really accrue in cost to income gains? </w:t>
      </w:r>
    </w:p>
    <w:p>
      <w:pPr>
        <w:autoSpaceDN w:val="0"/>
        <w:autoSpaceDE w:val="0"/>
        <w:widowControl/>
        <w:spacing w:line="221" w:lineRule="auto" w:before="278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Sandeep Batra: </w:t>
      </w:r>
    </w:p>
    <w:p>
      <w:pPr>
        <w:autoSpaceDN w:val="0"/>
        <w:autoSpaceDE w:val="0"/>
        <w:widowControl/>
        <w:spacing w:line="245" w:lineRule="auto" w:before="278" w:after="0"/>
        <w:ind w:left="0" w:right="20" w:firstLine="0"/>
        <w:jc w:val="both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Because these are early days in AI. As I did mention, we have calibrated our approach.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We look at cost, we look at the risk, and we look at the benefits. Our final objective is to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make the journeys of our customers simpler. I think there are enough opportunities out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there. I do not think so there is going there is going to be any material impact on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employees per se on this. This is still early days. We are focussed more on the governance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side at this point of time. We are looking at long-term value creation. But we do see a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fair bit of opportunities coming across and I did mention about various areas that we are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focussed on. Finally, the numbers will have to get reflected in the PBT number and that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is essentially that we are focussed on. The rest are actually inputs. It is just one of the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levers that we are using. As you are aware, over decades we have used technology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largely to benefit our customers and improve our efficiencies across. That approach will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continue to remain there. I do not think so anyone can take away the importance of a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human relationship and, more particularly, in a banking kind of a relationship. So, we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continue to invest in our human capital as well as technology capital. At the intersection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of both of it, we do expect we will be able to deliver a decent value to our customers. </w:t>
      </w:r>
    </w:p>
    <w:p>
      <w:pPr>
        <w:autoSpaceDN w:val="0"/>
        <w:autoSpaceDE w:val="0"/>
        <w:widowControl/>
        <w:spacing w:line="218" w:lineRule="auto" w:before="280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Ashish Agashe: </w:t>
      </w:r>
    </w:p>
    <w:p>
      <w:pPr>
        <w:autoSpaceDN w:val="0"/>
        <w:autoSpaceDE w:val="0"/>
        <w:widowControl/>
        <w:spacing w:line="245" w:lineRule="auto" w:before="278" w:after="0"/>
        <w:ind w:left="0" w:right="20" w:firstLine="0"/>
        <w:jc w:val="both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Sir, just a quick follow-up. There are these worries over the expensiveness of tokenisation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and other things coming in from the tech front and probably the naysayers would also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be questioning the entire efficacy from a spend perspective on AI. Early days, I agree, but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how do you look at this right now? </w:t>
      </w:r>
    </w:p>
    <w:p>
      <w:pPr>
        <w:autoSpaceDN w:val="0"/>
        <w:autoSpaceDE w:val="0"/>
        <w:widowControl/>
        <w:spacing w:line="221" w:lineRule="auto" w:before="278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Sandeep Batra: </w:t>
      </w:r>
    </w:p>
    <w:p>
      <w:pPr>
        <w:autoSpaceDN w:val="0"/>
        <w:autoSpaceDE w:val="0"/>
        <w:widowControl/>
        <w:spacing w:line="245" w:lineRule="auto" w:before="280" w:after="0"/>
        <w:ind w:left="0" w:right="20" w:firstLine="0"/>
        <w:jc w:val="both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Whenever new technology comes, you have to look at the cost, you have to look at the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risk, and you have to look at the benefits and continue to make investments in these and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calibrate your way across. So, we do not really have to be in a hurry of being a pioneer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here. But I mean, over a reasonable period of time, we think we have been able to assess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areas where we can actually benefit over a longer-term perspective. We remain invested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in it. If the cost becomes too high, we will recalibrate our strategy. This is a continuous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exercise which happens with any technology deployment and that includes for AI as well. </w:t>
      </w:r>
    </w:p>
    <w:p>
      <w:pPr>
        <w:autoSpaceDN w:val="0"/>
        <w:autoSpaceDE w:val="0"/>
        <w:widowControl/>
        <w:spacing w:line="221" w:lineRule="auto" w:before="278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Ashish Agashe: </w:t>
      </w:r>
    </w:p>
    <w:p>
      <w:pPr>
        <w:autoSpaceDN w:val="0"/>
        <w:autoSpaceDE w:val="0"/>
        <w:widowControl/>
        <w:spacing w:line="218" w:lineRule="auto" w:before="278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Thank you so much. </w:t>
      </w:r>
    </w:p>
    <w:p>
      <w:pPr>
        <w:autoSpaceDN w:val="0"/>
        <w:autoSpaceDE w:val="0"/>
        <w:widowControl/>
        <w:spacing w:line="221" w:lineRule="auto" w:before="280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Moderator: </w:t>
      </w:r>
    </w:p>
    <w:p>
      <w:pPr>
        <w:autoSpaceDN w:val="0"/>
        <w:autoSpaceDE w:val="0"/>
        <w:widowControl/>
        <w:spacing w:line="218" w:lineRule="auto" w:before="280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Thank you. Next question is from Aryan Khanna from Informist. Please go ahead </w:t>
      </w:r>
    </w:p>
    <w:p>
      <w:pPr>
        <w:autoSpaceDN w:val="0"/>
        <w:autoSpaceDE w:val="0"/>
        <w:widowControl/>
        <w:spacing w:line="218" w:lineRule="auto" w:before="0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Aryan Khanna: </w:t>
      </w:r>
    </w:p>
    <w:p>
      <w:pPr>
        <w:autoSpaceDN w:val="0"/>
        <w:autoSpaceDE w:val="0"/>
        <w:widowControl/>
        <w:spacing w:line="245" w:lineRule="auto" w:before="280" w:after="0"/>
        <w:ind w:left="0" w:right="22" w:firstLine="0"/>
        <w:jc w:val="both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Sir, congratulations on a great quarter. Do you see any levers that you can tap for better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profitability in the rest of the financial year, including maybe some high-yielding loan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portfolio considering that there is a risk to from the FCNR deposits that are going to be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coming in? </w:t>
      </w:r>
    </w:p>
    <w:p>
      <w:pPr>
        <w:autoSpaceDN w:val="0"/>
        <w:autoSpaceDE w:val="0"/>
        <w:widowControl/>
        <w:spacing w:line="221" w:lineRule="auto" w:before="278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Sandeep Batra: </w:t>
      </w:r>
    </w:p>
    <w:p>
      <w:pPr>
        <w:autoSpaceDN w:val="0"/>
        <w:autoSpaceDE w:val="0"/>
        <w:widowControl/>
        <w:spacing w:line="245" w:lineRule="auto" w:before="278" w:after="0"/>
        <w:ind w:left="0" w:right="22" w:firstLine="0"/>
        <w:jc w:val="both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Aryan, I think we are focussed on increasing our PBT number per se, and for that there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are multiple levers which includes NIM, fees, expenses, provisions etc. So, we look at all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the levers and finally we would really like to add value to our customers. So, that is the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overall framework that we have been working on, and we hope to continue to remain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focused on that framework. Within that, wherever opportunities do come, we would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capitalise on the same. </w:t>
      </w:r>
    </w:p>
    <w:p>
      <w:pPr>
        <w:autoSpaceDN w:val="0"/>
        <w:autoSpaceDE w:val="0"/>
        <w:widowControl/>
        <w:spacing w:line="221" w:lineRule="auto" w:before="280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Aryan Khanna: </w:t>
      </w:r>
    </w:p>
    <w:p>
      <w:pPr>
        <w:autoSpaceDN w:val="0"/>
        <w:autoSpaceDE w:val="0"/>
        <w:widowControl/>
        <w:spacing w:line="245" w:lineRule="auto" w:before="280" w:after="0"/>
        <w:ind w:left="0" w:right="20" w:firstLine="0"/>
        <w:jc w:val="both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Okay sir, perfect. My second question being, if you could lend some colour to the NPA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trajectory for the rest of the financial year, especially as the West Asia situation, has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continued to flare up and remain uncertain. So, the last two quarters have been really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good, both in the March quarter and June. In June quarter we saw a Y-o-Y fall in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recoveries and then the net NPA ratio has sort of inched up sequentially. So, have we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bottomed out on NPAs, and do you see an expansion in the rest of the FY? </w:t>
      </w:r>
    </w:p>
    <w:p>
      <w:pPr>
        <w:autoSpaceDN w:val="0"/>
        <w:autoSpaceDE w:val="0"/>
        <w:widowControl/>
        <w:spacing w:line="221" w:lineRule="auto" w:before="280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Sandeep Batra: </w:t>
      </w:r>
    </w:p>
    <w:p>
      <w:pPr>
        <w:autoSpaceDN w:val="0"/>
        <w:autoSpaceDE w:val="0"/>
        <w:widowControl/>
        <w:spacing w:line="245" w:lineRule="auto" w:before="278" w:after="0"/>
        <w:ind w:left="0" w:right="20" w:firstLine="0"/>
        <w:jc w:val="both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It is difficult to make that assessment. I know because the geopolitical developments, as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you yourself have said, is uncertain. In terms of outlook, if you see, we have gone through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fair bit of challenges over the last year as well. It is not that this has been the first time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that we have got those challenges. But we continue to monitor our asset quality, and we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will continue to closely look at all the developments which have been happening over this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period of time, and work closely with our customers. So, I do not think so I can add much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more to that. Anindya, in case you want to add? </w:t>
      </w:r>
    </w:p>
    <w:p>
      <w:pPr>
        <w:autoSpaceDN w:val="0"/>
        <w:autoSpaceDE w:val="0"/>
        <w:widowControl/>
        <w:spacing w:line="221" w:lineRule="auto" w:before="278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Anindya Banerjee: </w:t>
      </w:r>
    </w:p>
    <w:p>
      <w:pPr>
        <w:autoSpaceDN w:val="0"/>
        <w:autoSpaceDE w:val="0"/>
        <w:widowControl/>
        <w:spacing w:line="245" w:lineRule="auto" w:before="280" w:after="0"/>
        <w:ind w:left="0" w:right="20" w:firstLine="0"/>
        <w:jc w:val="both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Yeah. So, first of all, there is really no inching up of NPAs or anything in the ratio.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Seasonally, in Q1 and Q3 of every year, we do see higher NPAs from the agri-related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lending and the credit costs are slightly higher. But they even out over the rest of the year.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And even in this quarter, our net credit cost is just about 30, 32 basis points of average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loans. As far as the outlook is concerned, if you look at the government, RBI etc. have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taken a number of measures to make sure that the Indian economy stays resilient, which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is reflected in all the high-frequency indicators as well as the NPL performance across </w:t>
      </w:r>
      <w:r>
        <w:rPr>
          <w:rFonts w:ascii="Mulish" w:hAnsi="Mulish" w:eastAsia="Mulish"/>
          <w:b/>
          <w:i w:val="0"/>
          <w:color w:val="000000"/>
          <w:sz w:val="22"/>
        </w:rPr>
        <w:t>banks. I mean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all the results which have come so far. How it will evolve, we will have to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see, but as of today, I do not think based on the current set of information or borrower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behaviour, we have any specific concern. These things are very difficult to predict. So, the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only way to handle them is to maintain a strong balance sheet which we have. </w:t>
      </w:r>
    </w:p>
    <w:p>
      <w:pPr>
        <w:autoSpaceDN w:val="0"/>
        <w:autoSpaceDE w:val="0"/>
        <w:widowControl/>
        <w:spacing w:line="331" w:lineRule="auto" w:before="0" w:after="0"/>
        <w:ind w:left="0" w:right="7776" w:firstLine="0"/>
        <w:jc w:val="center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Moderator: </w:t>
      </w:r>
      <w:r>
        <w:rPr>
          <w:rFonts w:ascii="Mulish" w:hAnsi="Mulish" w:eastAsia="Mulish"/>
          <w:b/>
          <w:sz w:val="22"/>
        </w:rPr>
        <w:t xml:space="preserve">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Thank you. </w:t>
      </w:r>
    </w:p>
    <w:p>
      <w:pPr>
        <w:autoSpaceDN w:val="0"/>
        <w:autoSpaceDE w:val="0"/>
        <w:widowControl/>
        <w:spacing w:line="331" w:lineRule="auto" w:before="276" w:after="0"/>
        <w:ind w:left="0" w:right="7344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Aryan Khanna: </w:t>
      </w:r>
      <w:r>
        <w:rPr>
          <w:rFonts w:ascii="Mulish" w:hAnsi="Mulish" w:eastAsia="Mulish"/>
          <w:b/>
          <w:sz w:val="22"/>
        </w:rPr>
        <w:t xml:space="preserve">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Got it. Thanks. </w:t>
      </w:r>
    </w:p>
    <w:p>
      <w:pPr>
        <w:autoSpaceDN w:val="0"/>
        <w:autoSpaceDE w:val="0"/>
        <w:widowControl/>
        <w:spacing w:line="331" w:lineRule="auto" w:before="280" w:after="0"/>
        <w:ind w:left="0" w:right="144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Moderator: </w:t>
      </w:r>
      <w:r>
        <w:rPr>
          <w:rFonts w:ascii="Mulish" w:hAnsi="Mulish" w:eastAsia="Mulish"/>
          <w:b/>
          <w:sz w:val="22"/>
        </w:rPr>
        <w:t xml:space="preserve">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Next question is from Manju AB from Financial Express. Please go ahead. </w:t>
      </w:r>
    </w:p>
    <w:p>
      <w:pPr>
        <w:autoSpaceDN w:val="0"/>
        <w:autoSpaceDE w:val="0"/>
        <w:widowControl/>
        <w:spacing w:line="293" w:lineRule="auto" w:before="278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Manju AB: </w:t>
      </w:r>
      <w:r>
        <w:rPr>
          <w:rFonts w:ascii="Mulish" w:hAnsi="Mulish" w:eastAsia="Mulish"/>
          <w:b/>
          <w:sz w:val="22"/>
        </w:rPr>
        <w:t xml:space="preserve">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Good afternoon. I wanted to ask you how will you bridge the gap between the deposit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and the credit growth and how sustainable is the credit growth? </w:t>
      </w:r>
    </w:p>
    <w:p>
      <w:pPr>
        <w:autoSpaceDN w:val="0"/>
        <w:autoSpaceDE w:val="0"/>
        <w:widowControl/>
        <w:spacing w:line="257" w:lineRule="auto" w:before="280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Sandeep Batra: </w:t>
      </w:r>
      <w:r>
        <w:rPr>
          <w:rFonts w:ascii="Mulish" w:hAnsi="Mulish" w:eastAsia="Mulish"/>
          <w:b/>
          <w:sz w:val="22"/>
        </w:rPr>
        <w:t xml:space="preserve">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So, Manju, credit and deposit growth will have to go hand in hand. I mean, there could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be a quarter or so where there is a gap, but finally credit and deposit grow hand in hand.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Advances also get supported by the increase in net worth and there could be some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amount of opportunities on borrowings which we can take out, but over a period of time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they have to balance. It is mathematically impossible for the two to not go hand in hand. </w:t>
      </w:r>
    </w:p>
    <w:p>
      <w:pPr>
        <w:autoSpaceDN w:val="0"/>
        <w:autoSpaceDE w:val="0"/>
        <w:widowControl/>
        <w:spacing w:line="264" w:lineRule="auto" w:before="278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Manju AB: </w:t>
      </w:r>
      <w:r>
        <w:rPr>
          <w:rFonts w:ascii="Mulish" w:hAnsi="Mulish" w:eastAsia="Mulish"/>
          <w:b/>
          <w:sz w:val="22"/>
        </w:rPr>
        <w:t xml:space="preserve">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And how much of your….I am not asking about the target that you have for the FCNR(B)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deposits, but how much of those deposits would help you to reduce your wholesale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deposit? And can you give a colour on your deposit base? how much is term deposit,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wholesale and CASA? </w:t>
      </w:r>
    </w:p>
    <w:p>
      <w:pPr>
        <w:autoSpaceDN w:val="0"/>
        <w:autoSpaceDE w:val="0"/>
        <w:widowControl/>
        <w:spacing w:line="264" w:lineRule="auto" w:before="280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Sandeep Batra: </w:t>
      </w:r>
      <w:r>
        <w:rPr>
          <w:rFonts w:ascii="Mulish" w:hAnsi="Mulish" w:eastAsia="Mulish"/>
          <w:b/>
          <w:sz w:val="22"/>
        </w:rPr>
        <w:t xml:space="preserve">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Manju, we just look at money in the bank and wherever we can, whether it is CASA or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FDs and clearly the preference is within getting CASA and retail deposits. In case we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need more funding, that gets topped up by wholesale deposits. That is the approach that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we have been following for some time, and we will continue to remain focussed on that. </w:t>
      </w:r>
    </w:p>
    <w:p>
      <w:pPr>
        <w:autoSpaceDN w:val="0"/>
        <w:autoSpaceDE w:val="0"/>
        <w:widowControl/>
        <w:spacing w:line="293" w:lineRule="auto" w:before="276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Manju AB: </w:t>
      </w:r>
      <w:r>
        <w:rPr>
          <w:rFonts w:ascii="Mulish" w:hAnsi="Mulish" w:eastAsia="Mulish"/>
          <w:b/>
          <w:sz w:val="22"/>
        </w:rPr>
        <w:t xml:space="preserve">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And the ₹5,500 crores of NPAs, the fresh addition, from where is it coming from, which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segment? Is it more retail or? </w:t>
      </w:r>
    </w:p>
    <w:p>
      <w:pPr>
        <w:autoSpaceDN w:val="0"/>
        <w:autoSpaceDE w:val="0"/>
        <w:widowControl/>
        <w:spacing w:line="264" w:lineRule="auto" w:before="280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Anindya Banerjee: </w:t>
      </w:r>
      <w:r>
        <w:rPr>
          <w:rFonts w:ascii="Mulish" w:hAnsi="Mulish" w:eastAsia="Mulish"/>
          <w:b/>
          <w:sz w:val="22"/>
        </w:rPr>
        <w:t xml:space="preserve">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This is a pretty normal trend. So, if we look at on a year-on-year basis, you know, the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retail NPL formation has actually come down, principally in the unsecured segment.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Other segments were anyway quite stable. And business banking and rural are at similar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levels as they were. Corporate, there is virtually no new NPL formation. </w:t>
      </w:r>
    </w:p>
    <w:p>
      <w:pPr>
        <w:autoSpaceDN w:val="0"/>
        <w:autoSpaceDE w:val="0"/>
        <w:widowControl/>
        <w:spacing w:line="331" w:lineRule="auto" w:before="0" w:after="0"/>
        <w:ind w:left="0" w:right="720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Manju AB: </w:t>
      </w:r>
      <w:r>
        <w:rPr>
          <w:rFonts w:ascii="Mulish" w:hAnsi="Mulish" w:eastAsia="Mulish"/>
          <w:b/>
          <w:sz w:val="22"/>
        </w:rPr>
        <w:t xml:space="preserve">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Okay. Thank you. </w:t>
      </w:r>
    </w:p>
    <w:p>
      <w:pPr>
        <w:autoSpaceDN w:val="0"/>
        <w:autoSpaceDE w:val="0"/>
        <w:widowControl/>
        <w:spacing w:line="293" w:lineRule="auto" w:before="276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Moderator: </w:t>
      </w:r>
      <w:r>
        <w:rPr>
          <w:rFonts w:ascii="Mulish" w:hAnsi="Mulish" w:eastAsia="Mulish"/>
          <w:b/>
          <w:sz w:val="22"/>
        </w:rPr>
        <w:t xml:space="preserve">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Thank you. Next question is from Falaknaaz Syed from Deccan Chronicle. Please go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ahead. </w:t>
      </w:r>
    </w:p>
    <w:p>
      <w:pPr>
        <w:autoSpaceDN w:val="0"/>
        <w:autoSpaceDE w:val="0"/>
        <w:widowControl/>
        <w:spacing w:line="293" w:lineRule="auto" w:before="280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Falaknaaz Syed: </w:t>
      </w:r>
      <w:r>
        <w:rPr>
          <w:rFonts w:ascii="Mulish" w:hAnsi="Mulish" w:eastAsia="Mulish"/>
          <w:b/>
          <w:sz w:val="22"/>
        </w:rPr>
        <w:t xml:space="preserve">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The banks you have tied up with, international banks you have tied up for FCNR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mobilisation? </w:t>
      </w:r>
    </w:p>
    <w:p>
      <w:pPr>
        <w:autoSpaceDN w:val="0"/>
        <w:autoSpaceDE w:val="0"/>
        <w:widowControl/>
        <w:spacing w:line="293" w:lineRule="auto" w:before="278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Anindya Banerjee: </w:t>
      </w:r>
      <w:r>
        <w:rPr>
          <w:rFonts w:ascii="Mulish" w:hAnsi="Mulish" w:eastAsia="Mulish"/>
          <w:b/>
          <w:sz w:val="22"/>
        </w:rPr>
        <w:t xml:space="preserve">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As we said, these are all evolving issues, and we will report the outcomes at the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appropriate time. Nothing really to announce as of now. </w:t>
      </w:r>
    </w:p>
    <w:p>
      <w:pPr>
        <w:autoSpaceDN w:val="0"/>
        <w:autoSpaceDE w:val="0"/>
        <w:widowControl/>
        <w:spacing w:line="329" w:lineRule="auto" w:before="280" w:after="0"/>
        <w:ind w:left="0" w:right="5184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Falaknaaz Syed: </w:t>
      </w:r>
      <w:r>
        <w:rPr>
          <w:rFonts w:ascii="Mulish" w:hAnsi="Mulish" w:eastAsia="Mulish"/>
          <w:b/>
          <w:sz w:val="22"/>
        </w:rPr>
        <w:t xml:space="preserve">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And recovery pipeline, what is it like? </w:t>
      </w:r>
    </w:p>
    <w:p>
      <w:pPr>
        <w:autoSpaceDN w:val="0"/>
        <w:autoSpaceDE w:val="0"/>
        <w:widowControl/>
        <w:spacing w:line="257" w:lineRule="auto" w:before="280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Anindya Banerjee: </w:t>
      </w:r>
      <w:r>
        <w:rPr>
          <w:rFonts w:ascii="Mulish" w:hAnsi="Mulish" w:eastAsia="Mulish"/>
          <w:b/>
          <w:sz w:val="22"/>
        </w:rPr>
        <w:t xml:space="preserve">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Well, that is an ongoing process, you know, from the retail and SME portfolios, there is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always an inflow and outflow of NPLs. On the corporate side, there are, some recoveries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that also keep coming through out of the older portfolio whenever there is a settlement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or some NCLT judgment and so on. So, that is there. No specific pipeline that we can talk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of. </w:t>
      </w:r>
    </w:p>
    <w:p>
      <w:pPr>
        <w:autoSpaceDN w:val="0"/>
        <w:autoSpaceDE w:val="0"/>
        <w:widowControl/>
        <w:spacing w:line="293" w:lineRule="auto" w:before="278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Falaknaaz Syed: </w:t>
      </w:r>
      <w:r>
        <w:rPr>
          <w:rFonts w:ascii="Mulish" w:hAnsi="Mulish" w:eastAsia="Mulish"/>
          <w:b/>
          <w:sz w:val="22"/>
        </w:rPr>
        <w:t xml:space="preserve">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I see. And this ₹5,500 crore NPAs, so there is no new from the corporate side, so mostly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largely they have come from the retail sector? </w:t>
      </w:r>
    </w:p>
    <w:p>
      <w:pPr>
        <w:autoSpaceDN w:val="0"/>
        <w:autoSpaceDE w:val="0"/>
        <w:widowControl/>
        <w:spacing w:line="331" w:lineRule="auto" w:before="278" w:after="0"/>
        <w:ind w:left="0" w:right="1296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Anindya Banerjee: </w:t>
      </w:r>
      <w:r>
        <w:rPr>
          <w:rFonts w:ascii="Mulish" w:hAnsi="Mulish" w:eastAsia="Mulish"/>
          <w:b/>
          <w:sz w:val="22"/>
        </w:rPr>
        <w:t xml:space="preserve">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Yeah, it would, and that has been the case for the last four, five years also. </w:t>
      </w:r>
    </w:p>
    <w:p>
      <w:pPr>
        <w:autoSpaceDN w:val="0"/>
        <w:autoSpaceDE w:val="0"/>
        <w:widowControl/>
        <w:spacing w:line="329" w:lineRule="auto" w:before="280" w:after="0"/>
        <w:ind w:left="0" w:right="3888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Falaknaaz Syed: </w:t>
      </w:r>
      <w:r>
        <w:rPr>
          <w:rFonts w:ascii="Mulish" w:hAnsi="Mulish" w:eastAsia="Mulish"/>
          <w:b/>
          <w:sz w:val="22"/>
        </w:rPr>
        <w:t xml:space="preserve">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So, can you give a breakup, is it from home loans? </w:t>
      </w:r>
    </w:p>
    <w:p>
      <w:pPr>
        <w:autoSpaceDN w:val="0"/>
        <w:autoSpaceDE w:val="0"/>
        <w:widowControl/>
        <w:spacing w:line="331" w:lineRule="auto" w:before="280" w:after="0"/>
        <w:ind w:left="0" w:right="5616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Anindya Banerjee: </w:t>
      </w:r>
      <w:r>
        <w:rPr>
          <w:rFonts w:ascii="Mulish" w:hAnsi="Mulish" w:eastAsia="Mulish"/>
          <w:b/>
          <w:sz w:val="22"/>
        </w:rPr>
        <w:t xml:space="preserve">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No, we do not give that breakup. </w:t>
      </w:r>
    </w:p>
    <w:p>
      <w:pPr>
        <w:autoSpaceDN w:val="0"/>
        <w:autoSpaceDE w:val="0"/>
        <w:widowControl/>
        <w:spacing w:line="331" w:lineRule="auto" w:before="0" w:after="0"/>
        <w:ind w:left="0" w:right="720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Falaknaaz Syed: </w:t>
      </w:r>
      <w:r>
        <w:rPr>
          <w:rFonts w:ascii="Mulish" w:hAnsi="Mulish" w:eastAsia="Mulish"/>
          <w:b/>
          <w:sz w:val="22"/>
        </w:rPr>
        <w:t xml:space="preserve">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Okay. Thank you. </w:t>
      </w:r>
    </w:p>
    <w:p>
      <w:pPr>
        <w:autoSpaceDN w:val="0"/>
        <w:autoSpaceDE w:val="0"/>
        <w:widowControl/>
        <w:spacing w:line="331" w:lineRule="auto" w:before="276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Moderator: </w:t>
      </w:r>
      <w:r>
        <w:rPr>
          <w:rFonts w:ascii="Mulish" w:hAnsi="Mulish" w:eastAsia="Mulish"/>
          <w:b/>
          <w:sz w:val="22"/>
        </w:rPr>
        <w:t xml:space="preserve">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Thank you. Next question is from Ram Kumar from Hindu Business Line. Please go ahead. </w:t>
      </w:r>
    </w:p>
    <w:p>
      <w:pPr>
        <w:autoSpaceDN w:val="0"/>
        <w:autoSpaceDE w:val="0"/>
        <w:widowControl/>
        <w:spacing w:line="293" w:lineRule="auto" w:before="280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Ram Kumar: </w:t>
      </w:r>
      <w:r>
        <w:rPr>
          <w:rFonts w:ascii="Mulish" w:hAnsi="Mulish" w:eastAsia="Mulish"/>
          <w:b/>
          <w:sz w:val="22"/>
        </w:rPr>
        <w:t xml:space="preserve">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Sir, how much surplus SLR are you having right now and what was it in the year-ago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period actually? </w:t>
      </w:r>
    </w:p>
    <w:p>
      <w:pPr>
        <w:autoSpaceDN w:val="0"/>
        <w:autoSpaceDE w:val="0"/>
        <w:widowControl/>
        <w:spacing w:line="293" w:lineRule="auto" w:before="278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Anindya Banerjee: </w:t>
      </w:r>
      <w:r>
        <w:rPr>
          <w:rFonts w:ascii="Mulish" w:hAnsi="Mulish" w:eastAsia="Mulish"/>
          <w:b/>
          <w:sz w:val="22"/>
        </w:rPr>
        <w:t xml:space="preserve">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No, we do not really give any surplus SLR. I think the LCR for the quarter, which is really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the operative liquidity metric, was at 124%. </w:t>
      </w:r>
    </w:p>
    <w:p>
      <w:pPr>
        <w:autoSpaceDN w:val="0"/>
        <w:autoSpaceDE w:val="0"/>
        <w:widowControl/>
        <w:spacing w:line="329" w:lineRule="auto" w:before="280" w:after="0"/>
        <w:ind w:left="0" w:right="3744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Ram Kumar: </w:t>
      </w:r>
      <w:r>
        <w:rPr>
          <w:rFonts w:ascii="Mulish" w:hAnsi="Mulish" w:eastAsia="Mulish"/>
          <w:b/>
          <w:sz w:val="22"/>
        </w:rPr>
        <w:t xml:space="preserve">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Okay. How much is the LCR if you could share that? </w:t>
      </w:r>
    </w:p>
    <w:p>
      <w:pPr>
        <w:autoSpaceDN w:val="0"/>
        <w:autoSpaceDE w:val="0"/>
        <w:widowControl/>
        <w:spacing w:line="331" w:lineRule="auto" w:before="280" w:after="0"/>
        <w:ind w:left="0" w:right="7056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Anindya Banerjee: </w:t>
      </w:r>
      <w:r>
        <w:rPr>
          <w:rFonts w:ascii="Mulish" w:hAnsi="Mulish" w:eastAsia="Mulish"/>
          <w:b/>
          <w:sz w:val="22"/>
        </w:rPr>
        <w:t xml:space="preserve">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124%. </w:t>
      </w:r>
    </w:p>
    <w:p>
      <w:pPr>
        <w:autoSpaceDN w:val="0"/>
        <w:autoSpaceDE w:val="0"/>
        <w:widowControl/>
        <w:spacing w:line="329" w:lineRule="auto" w:before="278" w:after="0"/>
        <w:ind w:left="0" w:right="4464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Ram Kumar: </w:t>
      </w:r>
      <w:r>
        <w:rPr>
          <w:rFonts w:ascii="Mulish" w:hAnsi="Mulish" w:eastAsia="Mulish"/>
          <w:b/>
          <w:sz w:val="22"/>
        </w:rPr>
        <w:t xml:space="preserve">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And what was it in the year-ago period, sir? </w:t>
      </w:r>
    </w:p>
    <w:p>
      <w:pPr>
        <w:autoSpaceDN w:val="0"/>
        <w:autoSpaceDE w:val="0"/>
        <w:widowControl/>
        <w:spacing w:line="331" w:lineRule="auto" w:before="280" w:after="0"/>
        <w:ind w:left="0" w:right="7056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Anindya Banerjee: </w:t>
      </w:r>
      <w:r>
        <w:rPr>
          <w:rFonts w:ascii="Mulish" w:hAnsi="Mulish" w:eastAsia="Mulish"/>
          <w:b/>
          <w:sz w:val="22"/>
        </w:rPr>
        <w:t xml:space="preserve">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128%. </w:t>
      </w:r>
    </w:p>
    <w:p>
      <w:pPr>
        <w:autoSpaceDN w:val="0"/>
        <w:autoSpaceDE w:val="0"/>
        <w:widowControl/>
        <w:spacing w:line="331" w:lineRule="auto" w:before="278" w:after="0"/>
        <w:ind w:left="0" w:right="144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Ram Kumar: </w:t>
      </w:r>
      <w:r>
        <w:rPr>
          <w:rFonts w:ascii="Mulish" w:hAnsi="Mulish" w:eastAsia="Mulish"/>
          <w:b/>
          <w:sz w:val="22"/>
        </w:rPr>
        <w:t xml:space="preserve">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Okay. How much of your total deposits is on account of non-resident Indians actually? </w:t>
      </w:r>
    </w:p>
    <w:p>
      <w:pPr>
        <w:autoSpaceDN w:val="0"/>
        <w:autoSpaceDE w:val="0"/>
        <w:widowControl/>
        <w:spacing w:line="331" w:lineRule="auto" w:before="280" w:after="0"/>
        <w:ind w:left="0" w:right="6192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Anindya Banerjee: </w:t>
      </w:r>
      <w:r>
        <w:rPr>
          <w:rFonts w:ascii="Mulish" w:hAnsi="Mulish" w:eastAsia="Mulish"/>
          <w:b/>
          <w:sz w:val="22"/>
        </w:rPr>
        <w:t xml:space="preserve">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No, we have not given that. </w:t>
      </w:r>
    </w:p>
    <w:p>
      <w:pPr>
        <w:autoSpaceDN w:val="0"/>
        <w:autoSpaceDE w:val="0"/>
        <w:widowControl/>
        <w:spacing w:line="331" w:lineRule="auto" w:before="276" w:after="0"/>
        <w:ind w:left="0" w:right="432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Ram Kumar: </w:t>
      </w:r>
      <w:r>
        <w:rPr>
          <w:rFonts w:ascii="Mulish" w:hAnsi="Mulish" w:eastAsia="Mulish"/>
          <w:b/>
          <w:sz w:val="22"/>
        </w:rPr>
        <w:t xml:space="preserve">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And whether that portion is going to change? </w:t>
      </w:r>
    </w:p>
    <w:p>
      <w:pPr>
        <w:autoSpaceDN w:val="0"/>
        <w:autoSpaceDE w:val="0"/>
        <w:widowControl/>
        <w:spacing w:line="293" w:lineRule="auto" w:before="280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Anindya Banerjee: </w:t>
      </w:r>
      <w:r>
        <w:rPr>
          <w:rFonts w:ascii="Mulish" w:hAnsi="Mulish" w:eastAsia="Mulish"/>
          <w:b/>
          <w:sz w:val="22"/>
        </w:rPr>
        <w:t xml:space="preserve">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We have not given that breakup and I guess as the FCNR(B) flows start and pick up, that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number will go up. </w:t>
      </w:r>
    </w:p>
    <w:p>
      <w:pPr>
        <w:autoSpaceDN w:val="0"/>
        <w:autoSpaceDE w:val="0"/>
        <w:widowControl/>
        <w:spacing w:line="331" w:lineRule="auto" w:before="0" w:after="0"/>
        <w:ind w:left="0" w:right="7632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Ram Kumar: </w:t>
      </w:r>
      <w:r>
        <w:rPr>
          <w:rFonts w:ascii="Mulish" w:hAnsi="Mulish" w:eastAsia="Mulish"/>
          <w:b/>
          <w:sz w:val="22"/>
        </w:rPr>
        <w:t xml:space="preserve">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Thank you. </w:t>
      </w:r>
    </w:p>
    <w:p>
      <w:pPr>
        <w:autoSpaceDN w:val="0"/>
        <w:autoSpaceDE w:val="0"/>
        <w:widowControl/>
        <w:spacing w:line="293" w:lineRule="auto" w:before="276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Moderator: </w:t>
      </w:r>
      <w:r>
        <w:rPr>
          <w:rFonts w:ascii="Mulish" w:hAnsi="Mulish" w:eastAsia="Mulish"/>
          <w:b/>
          <w:sz w:val="22"/>
        </w:rPr>
        <w:t xml:space="preserve">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Thank you. This brings the conference call to an end. On behalf of ICICI Bank, we thank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you all for joining us. You may now disconnect your lines. Thank you again. </w:t>
      </w:r>
    </w:p>
    <w:sectPr w:rsidR="00FC693F" w:rsidRPr="0006063C" w:rsidSect="00034616">
      <w:headerReference w:type="default" r:id="rId10"/>
      <w:footerReference w:type="default" r:id="rId11"/>
      <w:pgSz w:w="11906" w:h="16838"/>
      <w:pgMar w:top="1814" w:right="1134" w:bottom="1134" w:left="1134" w:header="0" w:footer="567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Mulish" w:hAnsi="Mulish"/>
        <w:b/>
        <w:sz w:val="22"/>
      </w:rPr>
      <w:t xml:space="preserve">Page </w:t>
      <w:fldChar w:fldCharType="begin"/>
    </w:r>
    <w:r>
      <w:rPr>
        <w:rFonts w:ascii="Mulish" w:hAnsi="Mulish"/>
        <w:b/>
        <w:sz w:val="22"/>
      </w:rPr>
      <w:instrText>PAGE</w:instrText>
      <w:fldChar w:fldCharType="end"/>
    </w:r>
    <w:r>
      <w:rPr>
        <w:rFonts w:ascii="Mulish" w:hAnsi="Mulish"/>
        <w:b/>
        <w:sz w:val="22"/>
      </w:rPr>
      <w:t xml:space="preserve"> of </w:t>
    </w:r>
    <w:r>
      <w:rPr>
        <w:rFonts w:ascii="Mulish" w:hAnsi="Mulish"/>
        <w:b/>
        <w:sz w:val="22"/>
      </w:rPr>
      <w:fldChar w:fldCharType="begin"/>
    </w:r>
    <w:r>
      <w:rPr>
        <w:rFonts w:ascii="Mulish" w:hAnsi="Mulish"/>
        <w:b/>
        <w:sz w:val="22"/>
      </w:rPr>
      <w:instrText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160"/>
      <w:ind w:left="-1134" w:right="-1134"/>
      <w:jc w:val="center"/>
    </w:pPr>
    <w:r/>
    <w:r>
      <w:drawing>
        <wp:inline xmlns:a="http://schemas.openxmlformats.org/drawingml/2006/main" xmlns:pic="http://schemas.openxmlformats.org/drawingml/2006/picture">
          <wp:extent cx="7560000" cy="107785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ici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7785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ulish" w:hAnsi="Mulish" w:eastAsia="Mulish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ulish" w:hAnsi="Mulish" w:eastAsia="Mulish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Mulish" w:hAnsi="Mulish" w:eastAsia="Mulish"/>
      <w:sz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ulish" w:hAnsi="Mulish" w:eastAsia="Mulish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Mulish" w:hAnsi="Mulish" w:eastAsia="Mulish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ulish" w:hAnsi="Mulish" w:eastAsia="Mulish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ulish" w:hAnsi="Mulish" w:eastAsia="Mulish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ulish" w:hAnsi="Mulish" w:eastAsia="Mulish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ulish" w:hAnsi="Mulish" w:eastAsia="Mulish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ulish" w:hAnsi="Mulish" w:eastAsia="Mulish"/>
      <w:color w:val="243F60" w:themeColor="accent1" w:themeShade="7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Mulish" w:hAnsi="Mulish" w:eastAsia="Mulish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Mulish" w:hAnsi="Mulish" w:eastAsia="Mulish"/>
      <w:i/>
      <w:iCs/>
      <w:color w:val="404040" w:themeColor="text1" w:themeTint="BF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Mulish" w:hAnsi="Mulish" w:eastAsia="Mulish"/>
      <w:color w:val="4F81BD" w:themeColor="accent1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Mulish" w:hAnsi="Mulish" w:eastAsia="Mulish"/>
      <w:i/>
      <w:iCs/>
      <w:color w:val="404040" w:themeColor="text1" w:themeTint="BF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Mulish" w:hAnsi="Mulish" w:eastAsia="Mulish"/>
      <w:sz w:val="22"/>
    </w:rPr>
  </w:style>
  <w:style w:type="table" w:default="1" w:styleId="TableNormal">
    <w:name w:val="Normal Table"/>
    <w:uiPriority w:val="99"/>
    <w:semiHidden/>
    <w:unhideWhenUsed/>
    <w:rPr>
      <w:rFonts w:ascii="Mulish" w:hAnsi="Mulish" w:eastAsia="Mulish"/>
      <w:sz w:val="22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Mulish" w:hAnsi="Mulish" w:eastAsia="Mulish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Mulish" w:hAnsi="Mulish" w:eastAsia="Mulish"/>
      <w:b/>
      <w:bCs/>
      <w:color w:val="365F91" w:themeColor="accent1" w:themeShade="BF"/>
      <w:sz w:val="2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Mulish" w:hAnsi="Mulish" w:eastAsia="Mulish"/>
      <w:b/>
      <w:bCs/>
      <w:color w:val="4F81BD" w:themeColor="accent1"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Mulish" w:hAnsi="Mulish" w:eastAsia="Mulish"/>
      <w:b/>
      <w:bCs/>
      <w:color w:val="4F81BD" w:themeColor="accent1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ulish" w:hAnsi="Mulish" w:eastAsia="Mulish"/>
      <w:color w:val="17365D" w:themeColor="text2" w:themeShade="BF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Mulish" w:hAnsi="Mulish" w:eastAsia="Mulish"/>
      <w:color w:val="17365D" w:themeColor="text2" w:themeShade="BF"/>
      <w:spacing w:val="5"/>
      <w:kern w:val="28"/>
      <w:sz w:val="2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ulish" w:hAnsi="Mulish" w:eastAsia="Mulish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Mulish" w:hAnsi="Mulish" w:eastAsia="Mulish"/>
      <w:i/>
      <w:iCs/>
      <w:color w:val="4F81BD" w:themeColor="accent1"/>
      <w:spacing w:val="15"/>
      <w:sz w:val="22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Mulish" w:hAnsi="Mulish" w:eastAsia="Mulish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ulish" w:hAnsi="Mulish" w:eastAsia="Mulish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Mulish" w:hAnsi="Mulish" w:eastAsia="Mulish"/>
      <w:sz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Mulish" w:hAnsi="Mulish" w:eastAsia="Mulish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Mulish" w:hAnsi="Mulish" w:eastAsia="Mulish"/>
      <w:sz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Mulish" w:hAnsi="Mulish" w:eastAsia="Mulish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Mulish" w:hAnsi="Mulish" w:eastAsia="Mulish"/>
      <w:sz w:val="22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Mulish" w:hAnsi="Mulish" w:eastAsia="Mulish"/>
      <w:sz w:val="2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Mulish" w:hAnsi="Mulish" w:eastAsia="Mulish"/>
      <w:sz w:val="2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Mulish" w:hAnsi="Mulish" w:eastAsia="Mulish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ulish" w:hAnsi="Mulish" w:eastAsia="Mulish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ulish" w:hAnsi="Mulish" w:eastAsia="Mulish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Mulish" w:hAnsi="Mulish" w:eastAsia="Mulish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ulish" w:hAnsi="Mulish" w:eastAsia="Mulish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Mulish" w:hAnsi="Mulish" w:eastAsia="Mulish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Mulish" w:hAnsi="Mulish" w:eastAsia="Mulish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Mulish" w:hAnsi="Mulish" w:eastAsia="Mulish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Mulish" w:hAnsi="Mulish" w:eastAsia="Mulish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Mulish" w:hAnsi="Mulish" w:eastAsia="Mulish"/>
      <w:sz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Mulish" w:hAnsi="Mulish" w:eastAsia="Mulish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Mulish" w:hAnsi="Mulish" w:eastAsia="Mulish"/>
      <w:sz w:val="22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ulish" w:hAnsi="Mulish" w:eastAsia="Mulish"/>
      <w:i/>
      <w:iCs/>
      <w:color w:val="000000" w:themeColor="text1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Mulish" w:hAnsi="Mulish" w:eastAsia="Mulish"/>
      <w:i/>
      <w:iCs/>
      <w:color w:val="000000" w:themeColor="text1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Mulish" w:hAnsi="Mulish" w:eastAsia="Mulish"/>
      <w:b/>
      <w:bCs/>
      <w:i/>
      <w:iCs/>
      <w:color w:val="4F81BD" w:themeColor="accent1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Mulish" w:hAnsi="Mulish" w:eastAsia="Mulish"/>
      <w:color w:val="243F60" w:themeColor="accent1" w:themeShade="7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Mulish" w:hAnsi="Mulish" w:eastAsia="Mulish"/>
      <w:i/>
      <w:iCs/>
      <w:color w:val="243F60" w:themeColor="accent1" w:themeShade="7F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Mulish" w:hAnsi="Mulish" w:eastAsia="Mulish"/>
      <w:i/>
      <w:iCs/>
      <w:color w:val="404040" w:themeColor="text1" w:themeTint="BF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Mulish" w:hAnsi="Mulish" w:eastAsia="Mulish"/>
      <w:color w:val="4F81BD" w:themeColor="accent1"/>
      <w:sz w:val="22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Mulish" w:hAnsi="Mulish" w:eastAsia="Mulish"/>
      <w:i/>
      <w:iCs/>
      <w:color w:val="404040" w:themeColor="text1" w:themeTint="BF"/>
      <w:sz w:val="22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ulish" w:hAnsi="Mulish" w:eastAsia="Mulish"/>
      <w:b/>
      <w:bCs/>
      <w:color w:val="4F81BD" w:themeColor="accent1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Mulish" w:hAnsi="Mulish" w:eastAsia="Mulish"/>
      <w:b/>
      <w:bCs/>
      <w:sz w:val="22"/>
    </w:rPr>
  </w:style>
  <w:style w:type="character" w:styleId="Emphasis">
    <w:name w:val="Emphasis"/>
    <w:basedOn w:val="DefaultParagraphFont"/>
    <w:uiPriority w:val="20"/>
    <w:qFormat/>
    <w:rsid w:val="00FC693F"/>
    <w:rPr>
      <w:rFonts w:ascii="Mulish" w:hAnsi="Mulish" w:eastAsia="Mulish"/>
      <w:i/>
      <w:iCs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Mulish" w:hAnsi="Mulish" w:eastAsia="Mulish"/>
      <w:b/>
      <w:bCs/>
      <w:i/>
      <w:iCs/>
      <w:color w:val="4F81BD" w:themeColor="accent1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Mulish" w:hAnsi="Mulish" w:eastAsia="Mulish"/>
      <w:b/>
      <w:bCs/>
      <w:i/>
      <w:iCs/>
      <w:color w:val="4F81BD" w:themeColor="accent1"/>
      <w:sz w:val="22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Mulish" w:hAnsi="Mulish" w:eastAsia="Mulish"/>
      <w:i/>
      <w:iCs/>
      <w:color w:val="808080" w:themeColor="text1" w:themeTint="7F"/>
      <w:sz w:val="22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Mulish" w:hAnsi="Mulish" w:eastAsia="Mulish"/>
      <w:b/>
      <w:bCs/>
      <w:i/>
      <w:iCs/>
      <w:color w:val="4F81BD" w:themeColor="accent1"/>
      <w:sz w:val="22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Mulish" w:hAnsi="Mulish" w:eastAsia="Mulish"/>
      <w:smallCaps/>
      <w:color w:val="C0504D" w:themeColor="accent2"/>
      <w:sz w:val="2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Mulish" w:hAnsi="Mulish" w:eastAsia="Mulish"/>
      <w:b/>
      <w:bCs/>
      <w:smallCaps/>
      <w:color w:val="C0504D" w:themeColor="accent2"/>
      <w:spacing w:val="5"/>
      <w:sz w:val="22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Mulish" w:hAnsi="Mulish" w:eastAsia="Mulish"/>
      <w:b/>
      <w:bCs/>
      <w:smallCaps/>
      <w:spacing w:val="5"/>
      <w:sz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Mulish" w:hAnsi="Mulish" w:eastAsia="Mulish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Mulish" w:hAnsi="Mulish" w:eastAsia="Mulish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Mulish" w:hAnsi="Mulish" w:eastAsia="Mulish"/>
      <w:color w:val="000000" w:themeColor="text1" w:themeShade="BF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Mulish" w:hAnsi="Mulish" w:eastAsia="Mulish"/>
      <w:color w:val="365F91" w:themeColor="accent1" w:themeShade="BF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Mulish" w:hAnsi="Mulish" w:eastAsia="Mulish"/>
      <w:color w:val="943634" w:themeColor="accent2" w:themeShade="BF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Mulish" w:hAnsi="Mulish" w:eastAsia="Mulish"/>
      <w:color w:val="76923C" w:themeColor="accent3" w:themeShade="BF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Mulish" w:hAnsi="Mulish" w:eastAsia="Mulish"/>
      <w:color w:val="5F497A" w:themeColor="accent4" w:themeShade="BF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Mulish" w:hAnsi="Mulish" w:eastAsia="Mulish"/>
      <w:color w:val="31849B" w:themeColor="accent5" w:themeShade="BF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Mulish" w:hAnsi="Mulish" w:eastAsia="Mulish"/>
      <w:color w:val="E36C0A" w:themeColor="accent6" w:themeShade="BF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Mulish" w:hAnsi="Mulish" w:eastAsia="Mulish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Mulish" w:hAnsi="Mulish" w:eastAsia="Mulish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Mulish" w:hAnsi="Mulish" w:eastAsia="Mulish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Mulish" w:hAnsi="Mulish" w:eastAsia="Mulish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Mulish" w:hAnsi="Mulish" w:eastAsia="Mulish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Mulish" w:hAnsi="Mulish" w:eastAsia="Mulish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Mulish" w:hAnsi="Mulish" w:eastAsia="Mulish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sec.gov/" TargetMode="Externa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