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60" w:before="0"/>
        <w:jc w:val="center"/>
      </w:pPr>
      <w:r>
        <w:rPr>
          <w:rFonts w:ascii="Arial" w:cs="Arial" w:eastAsia="Arial" w:hAnsi="Arial"/>
          <w:b/>
          <w:bCs/>
          <w:color w:val="00B4D8"/>
          <w:spacing w:val="100"/>
          <w:sz w:val="24"/>
          <w:szCs w:val="24"/>
        </w:rPr>
        <w:t xml:space="preserve">BUSINESS REQUIREMENTS DOCUMENT</w:t>
      </w:r>
    </w:p>
    <w:p>
      <w:pPr>
        <w:pBdr>
          <w:bottom w:val="single" w:color="00B4D8" w:sz="12" w:space="6"/>
        </w:pBdr>
        <w:spacing w:after="200" w:before="0"/>
        <w:jc w:val="center"/>
      </w:pPr>
      <w:r>
        <w:t xml:space="preserve"/>
      </w:r>
    </w:p>
    <w:p>
      <w:pPr>
        <w:spacing w:after="80" w:before="200"/>
        <w:jc w:val="center"/>
      </w:pPr>
      <w:r>
        <w:rPr>
          <w:rFonts w:ascii="Arial" w:cs="Arial" w:eastAsia="Arial" w:hAnsi="Arial"/>
          <w:b/>
          <w:bCs/>
          <w:color w:val="0D1B2A"/>
          <w:sz w:val="64"/>
          <w:szCs w:val="64"/>
        </w:rPr>
        <w:t xml:space="preserve">Bank Loan Portfolio</w:t>
      </w:r>
    </w:p>
    <w:p>
      <w:pPr>
        <w:spacing w:after="80" w:before="0"/>
        <w:jc w:val="center"/>
      </w:pPr>
      <w:r>
        <w:rPr>
          <w:rFonts w:ascii="Arial" w:cs="Arial" w:eastAsia="Arial" w:hAnsi="Arial"/>
          <w:b/>
          <w:bCs/>
          <w:color w:val="00B4D8"/>
          <w:sz w:val="64"/>
          <w:szCs w:val="64"/>
        </w:rPr>
        <w:t xml:space="preserve">Analytics Project</w:t>
      </w:r>
    </w:p>
    <w:p>
      <w:pPr>
        <w:spacing w:after="400" w:before="80"/>
        <w:jc w:val="center"/>
      </w:pPr>
      <w:r>
        <w:rPr>
          <w:rFonts w:ascii="Arial" w:cs="Arial" w:eastAsia="Arial" w:hAnsi="Arial"/>
          <w:i/>
          <w:iCs/>
          <w:color w:val="64748B"/>
          <w:sz w:val="24"/>
          <w:szCs w:val="24"/>
        </w:rPr>
        <w:t xml:space="preserve">Internship Data Analysis Project</w:t>
      </w:r>
    </w:p>
    <w:p>
      <w:pPr>
        <w:spacing w:after="400" w:before="0"/>
        <w:jc w:val="center"/>
      </w:pPr>
      <w:r>
        <w:rPr>
          <w:rFonts w:ascii="Arial" w:cs="Arial" w:eastAsia="Arial" w:hAnsi="Arial"/>
          <w:color w:val="0D1B2A"/>
          <w:sz w:val="22"/>
          <w:szCs w:val="22"/>
        </w:rPr>
        <w:t xml:space="preserve">Excel  →  ETL Pipeline  →  MySQL  →  Python EDA  →  Power BI  →  PowerPoint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Document Title</w:t>
            </w:r>
          </w:p>
        </w:tc>
        <w:tc>
          <w:tcPr>
            <w:tcW w:type="dxa" w:w="4200"/>
            <w:tcBorders>
              <w:top w:val="single" w:color="AAAAAA" w:sz="4"/>
              <w:left w:val="single" w:color="AAAAAA" w:sz="4"/>
              <w:bottom w:val="single" w:color="AAAAAA" w:sz="4"/>
              <w:right w:val="single" w:color="AAAAAA" w:sz="4"/>
            </w:tcBorders>
            <w:shd w:fill="F0F4F8" w:val="clear"/>
            <w:tcMar>
              <w:top w:type="dxa" w:w="80"/>
              <w:left w:type="dxa" w:w="150"/>
              <w:bottom w:type="dxa" w:w="80"/>
              <w:right w:type="dxa" w:w="150"/>
            </w:tcMar>
          </w:tcPr>
          <w:p>
            <w:r>
              <w:rPr>
                <w:rFonts w:ascii="Arial" w:cs="Arial" w:eastAsia="Arial" w:hAnsi="Arial"/>
                <w:color w:val="1E293B"/>
                <w:sz w:val="20"/>
                <w:szCs w:val="20"/>
              </w:rPr>
              <w:t xml:space="preserve">BRD — Bank Loan Portfolio Analytics</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Version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E293B"/>
                <w:sz w:val="20"/>
                <w:szCs w:val="20"/>
              </w:rPr>
              <w:t xml:space="preserve">1.0</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Date</w:t>
            </w:r>
          </w:p>
        </w:tc>
        <w:tc>
          <w:tcPr>
            <w:tcW w:type="dxa" w:w="4200"/>
            <w:tcBorders>
              <w:top w:val="single" w:color="AAAAAA" w:sz="4"/>
              <w:left w:val="single" w:color="AAAAAA" w:sz="4"/>
              <w:bottom w:val="single" w:color="AAAAAA" w:sz="4"/>
              <w:right w:val="single" w:color="AAAAAA" w:sz="4"/>
            </w:tcBorders>
            <w:shd w:fill="F0F4F8" w:val="clear"/>
            <w:tcMar>
              <w:top w:type="dxa" w:w="80"/>
              <w:left w:type="dxa" w:w="150"/>
              <w:bottom w:type="dxa" w:w="80"/>
              <w:right w:type="dxa" w:w="150"/>
            </w:tcMar>
          </w:tcPr>
          <w:p>
            <w:r>
              <w:rPr>
                <w:rFonts w:ascii="Arial" w:cs="Arial" w:eastAsia="Arial" w:hAnsi="Arial"/>
                <w:color w:val="1E293B"/>
                <w:sz w:val="20"/>
                <w:szCs w:val="20"/>
              </w:rPr>
              <w:t xml:space="preserve">April 2026</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Status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E293B"/>
                <w:sz w:val="20"/>
                <w:szCs w:val="20"/>
              </w:rPr>
              <w:t xml:space="preserve">Final</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Domain</w:t>
            </w:r>
          </w:p>
        </w:tc>
        <w:tc>
          <w:tcPr>
            <w:tcW w:type="dxa" w:w="4200"/>
            <w:tcBorders>
              <w:top w:val="single" w:color="AAAAAA" w:sz="4"/>
              <w:left w:val="single" w:color="AAAAAA" w:sz="4"/>
              <w:bottom w:val="single" w:color="AAAAAA" w:sz="4"/>
              <w:right w:val="single" w:color="AAAAAA" w:sz="4"/>
            </w:tcBorders>
            <w:shd w:fill="F0F4F8" w:val="clear"/>
            <w:tcMar>
              <w:top w:type="dxa" w:w="80"/>
              <w:left w:type="dxa" w:w="150"/>
              <w:bottom w:type="dxa" w:w="80"/>
              <w:right w:type="dxa" w:w="150"/>
            </w:tcMar>
          </w:tcPr>
          <w:p>
            <w:r>
              <w:rPr>
                <w:rFonts w:ascii="Arial" w:cs="Arial" w:eastAsia="Arial" w:hAnsi="Arial"/>
                <w:color w:val="1E293B"/>
                <w:sz w:val="20"/>
                <w:szCs w:val="20"/>
              </w:rPr>
              <w:t xml:space="preserve">Banking / Financial Services</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Tools Used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E293B"/>
                <w:sz w:val="20"/>
                <w:szCs w:val="20"/>
              </w:rPr>
              <w:t xml:space="preserve">Excel, ETL (Pentaho), SQL (MySQL), Python, Power BI, PowerPoint</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Data Sources</w:t>
            </w:r>
          </w:p>
        </w:tc>
        <w:tc>
          <w:tcPr>
            <w:tcW w:type="dxa" w:w="4200"/>
            <w:tcBorders>
              <w:top w:val="single" w:color="AAAAAA" w:sz="4"/>
              <w:left w:val="single" w:color="AAAAAA" w:sz="4"/>
              <w:bottom w:val="single" w:color="AAAAAA" w:sz="4"/>
              <w:right w:val="single" w:color="AAAAAA" w:sz="4"/>
            </w:tcBorders>
            <w:shd w:fill="F0F4F8" w:val="clear"/>
            <w:tcMar>
              <w:top w:type="dxa" w:w="80"/>
              <w:left w:type="dxa" w:w="150"/>
              <w:bottom w:type="dxa" w:w="80"/>
              <w:right w:type="dxa" w:w="150"/>
            </w:tcMar>
          </w:tcPr>
          <w:p>
            <w:r>
              <w:rPr>
                <w:rFonts w:ascii="Arial" w:cs="Arial" w:eastAsia="Arial" w:hAnsi="Arial"/>
                <w:color w:val="1E293B"/>
                <w:sz w:val="20"/>
                <w:szCs w:val="20"/>
              </w:rPr>
              <w:t xml:space="preserve">Customer, Loan, Credit (Three relational tables)</w:t>
            </w:r>
          </w:p>
        </w:tc>
      </w:tr>
      <w:tr>
        <w:tc>
          <w:tcPr>
            <w:tcW w:type="dxa" w:w="3000"/>
            <w:tcBorders>
              <w:top w:val="single" w:color="AAAAAA" w:sz="4"/>
              <w:left w:val="single" w:color="AAAAAA" w:sz="4"/>
              <w:bottom w:val="single" w:color="AAAAAA" w:sz="4"/>
              <w:right w:val="single" w:color="AAAAAA" w:sz="4"/>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Prepared By</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E293B"/>
                <w:sz w:val="20"/>
                <w:szCs w:val="20"/>
              </w:rPr>
              <w:t xml:space="preserve">Analytics Intern — Data Analysis Team</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1. Executive Summary</w:t>
      </w:r>
    </w:p>
    <w:p>
      <w:pPr>
        <w:spacing w:after="60" w:before="60" w:line="276"/>
      </w:pPr>
      <w:r>
        <w:rPr>
          <w:rFonts w:ascii="Arial" w:cs="Arial" w:eastAsia="Arial" w:hAnsi="Arial"/>
          <w:color w:val="1E293B"/>
          <w:sz w:val="22"/>
          <w:szCs w:val="22"/>
        </w:rPr>
        <w:t xml:space="preserve">This Business Requirements Document captures the complete lifecycle of a Bank Loan Portfolio Analytics internship project. The project transformed raw data — generated using Gemini AI and refined — into actionable business intelligence through five sequential phases: data generation and cleaning in Excel, ETL pipeline loading into MySQL, SQL-based analysis (40 queries), Exploratory Data Analysis in Python, and an interactive multi-page Power BI dashboard.</w:t>
      </w:r>
    </w:p>
    <w:p>
      <w:pPr>
        <w:spacing w:after="100" w:before="0"/>
      </w:pPr>
      <w:r>
        <w:t xml:space="preserve"/>
      </w:r>
    </w:p>
    <w:p>
      <w:pPr>
        <w:spacing w:after="60" w:before="60" w:line="276"/>
      </w:pPr>
      <w:r>
        <w:rPr>
          <w:rFonts w:ascii="Arial" w:cs="Arial" w:eastAsia="Arial" w:hAnsi="Arial"/>
          <w:color w:val="1E293B"/>
          <w:sz w:val="22"/>
          <w:szCs w:val="22"/>
        </w:rPr>
        <w:t xml:space="preserve">The data model consists of three interconnected relational tables. Loan is the master (fact) table containing all loan transaction records. Customer and Credit are dimension tables providing borrower profiles and credit risk information respectively. The analysis covers 250 unique customers, 300 loan records, and 250 credit profiles across five Indian states spanning three fiscal years (2022–2024).</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Total Loan Amount</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Total Customers</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Total Loan Records</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Avg Loan Amount</w:t>
            </w:r>
          </w:p>
        </w:tc>
      </w:tr>
      <w:tr>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₹224M</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250</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300</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₹747K</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Avg Credit Score</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Active Loan Rate</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Max Interest Rate</w:t>
            </w:r>
          </w:p>
        </w:tc>
        <w:tc>
          <w:tcPr>
            <w:tcW w:type="dxa" w:w="2340"/>
            <w:tcBorders>
              <w:top w:val="single" w:color="00B4D8" w:sz="4"/>
              <w:left w:val="single" w:color="00B4D8" w:sz="4"/>
              <w:bottom w:val="single" w:color="00B4D8" w:sz="4"/>
              <w:right w:val="single" w:color="00B4D8" w:sz="4"/>
            </w:tcBorders>
            <w:shd w:fill="0D1B2A" w:val="clear"/>
            <w:tcMar>
              <w:top w:type="dxa" w:w="120"/>
              <w:left w:type="dxa" w:w="150"/>
              <w:bottom w:type="dxa" w:w="60"/>
              <w:right w:type="dxa" w:w="150"/>
            </w:tcMar>
          </w:tcPr>
          <w:p>
            <w:pPr>
              <w:jc w:val="center"/>
            </w:pPr>
            <w:r>
              <w:rPr>
                <w:rFonts w:ascii="Arial" w:cs="Arial" w:eastAsia="Arial" w:hAnsi="Arial"/>
                <w:b/>
                <w:bCs/>
                <w:color w:val="D6E4F0"/>
                <w:sz w:val="18"/>
                <w:szCs w:val="18"/>
              </w:rPr>
              <w:t xml:space="preserve">Avg Customer Age</w:t>
            </w:r>
          </w:p>
        </w:tc>
      </w:tr>
      <w:tr>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585.46</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63%</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17.96%</w:t>
            </w:r>
          </w:p>
        </w:tc>
        <w:tc>
          <w:tcPr>
            <w:tcW w:type="dxa" w:w="2340"/>
            <w:tcBorders>
              <w:top w:val="single" w:color="00B4D8" w:sz="4"/>
              <w:left w:val="single" w:color="00B4D8" w:sz="4"/>
              <w:bottom w:val="single" w:color="00B4D8" w:sz="4"/>
              <w:right w:val="single" w:color="00B4D8" w:sz="4"/>
            </w:tcBorders>
            <w:shd w:fill="EBF5FB" w:val="clear"/>
            <w:tcMar>
              <w:top w:type="dxa" w:w="80"/>
              <w:left w:type="dxa" w:w="150"/>
              <w:bottom w:type="dxa" w:w="120"/>
              <w:right w:type="dxa" w:w="150"/>
            </w:tcMar>
          </w:tcPr>
          <w:p>
            <w:pPr>
              <w:jc w:val="center"/>
            </w:pPr>
            <w:r>
              <w:rPr>
                <w:rFonts w:ascii="Arial" w:cs="Arial" w:eastAsia="Arial" w:hAnsi="Arial"/>
                <w:b/>
                <w:bCs/>
                <w:color w:val="0D1B2A"/>
                <w:sz w:val="26"/>
                <w:szCs w:val="26"/>
              </w:rPr>
              <w:t xml:space="preserve">40.5 yrs</w:t>
            </w:r>
          </w:p>
        </w:tc>
      </w:tr>
    </w:tbl>
    <w:p>
      <w:pPr>
        <w:spacing w:after="200" w:before="0"/>
      </w:pPr>
      <w:r>
        <w:t xml:space="preserve"/>
      </w:r>
    </w:p>
    <w:p>
      <w:pPr>
        <w:pStyle w:val="Heading1"/>
        <w:pBdr>
          <w:bottom w:val="single" w:color="00B4D8" w:sz="8" w:space="4"/>
        </w:pBdr>
        <w:spacing w:after="120" w:before="360"/>
      </w:pPr>
      <w:r>
        <w:rPr>
          <w:rFonts w:ascii="Arial" w:cs="Arial" w:eastAsia="Arial" w:hAnsi="Arial"/>
          <w:b/>
          <w:bCs/>
          <w:color w:val="0D1B2A"/>
          <w:sz w:val="32"/>
          <w:szCs w:val="32"/>
        </w:rPr>
        <w:t xml:space="preserve">2. Project Overview &amp; Objectives</w:t>
      </w:r>
    </w:p>
    <w:p>
      <w:pPr>
        <w:pStyle w:val="Heading2"/>
        <w:spacing w:after="80" w:before="240"/>
      </w:pPr>
      <w:r>
        <w:rPr>
          <w:rFonts w:ascii="Arial" w:cs="Arial" w:eastAsia="Arial" w:hAnsi="Arial"/>
          <w:b/>
          <w:bCs/>
          <w:color w:val="0D1B2A"/>
          <w:sz w:val="26"/>
          <w:szCs w:val="26"/>
        </w:rPr>
        <w:t xml:space="preserve">2.1 Background</w:t>
      </w:r>
    </w:p>
    <w:p>
      <w:pPr>
        <w:spacing w:after="60" w:before="60" w:line="276"/>
      </w:pPr>
      <w:r>
        <w:rPr>
          <w:rFonts w:ascii="Arial" w:cs="Arial" w:eastAsia="Arial" w:hAnsi="Arial"/>
          <w:color w:val="1E293B"/>
          <w:sz w:val="22"/>
          <w:szCs w:val="22"/>
        </w:rPr>
        <w:t xml:space="preserve">A Banking &amp; Financial Services analytics project was undertaken as part of an internship programme. The objective was to take raw loan data, clean and structure it, load it into a relational database, analyse it using SQL and Python, and finally present findings through a Power BI dashboard and an executive-level PowerPoint presentation.</w:t>
      </w:r>
    </w:p>
    <w:p>
      <w:pPr>
        <w:spacing w:after="100" w:before="0"/>
      </w:pPr>
      <w:r>
        <w:t xml:space="preserve"/>
      </w:r>
    </w:p>
    <w:p>
      <w:pPr>
        <w:spacing w:after="60" w:before="60" w:line="276"/>
      </w:pPr>
      <w:r>
        <w:rPr>
          <w:rFonts w:ascii="Arial" w:cs="Arial" w:eastAsia="Arial" w:hAnsi="Arial"/>
          <w:color w:val="1E293B"/>
          <w:sz w:val="22"/>
          <w:szCs w:val="22"/>
        </w:rPr>
        <w:t xml:space="preserve">The raw data was initially generated using Gemini AI and then manually refined and cleaned in Microsoft Excel to reflect realistic banking scenarios — including loan disbursements across five Indian states, customer demographics, employment patterns, and credit risk profiles.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2.2 Data Model</w:t>
      </w:r>
    </w:p>
    <w:p>
      <w:pPr>
        <w:spacing w:after="60" w:before="60" w:line="276"/>
      </w:pPr>
      <w:r>
        <w:rPr>
          <w:rFonts w:ascii="Arial" w:cs="Arial" w:eastAsia="Arial" w:hAnsi="Arial"/>
          <w:color w:val="1E293B"/>
          <w:sz w:val="22"/>
          <w:szCs w:val="22"/>
        </w:rPr>
        <w:t xml:space="preserve">The project follows a Star Schema design:</w:t>
      </w:r>
    </w:p>
    <w:p>
      <w:pPr>
        <w:spacing w:after="10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Loan — Master (Fact) Table: contains all loan transactions including loan amount, interest rate, EMI, tenure, disbursement date, DTI ratio, outstanding amount, and loan status</w:t>
      </w:r>
    </w:p>
    <w:p>
      <w:pPr>
        <w:pStyle w:val="ListParagraph"/>
        <w:numPr>
          <w:ilvl w:val="0"/>
          <w:numId w:val="2"/>
        </w:numPr>
        <w:spacing w:after="40" w:before="40"/>
      </w:pPr>
      <w:r>
        <w:rPr>
          <w:rFonts w:ascii="Arial" w:cs="Arial" w:eastAsia="Arial" w:hAnsi="Arial"/>
          <w:color w:val="1E293B"/>
          <w:sz w:val="22"/>
          <w:szCs w:val="22"/>
        </w:rPr>
        <w:t xml:space="preserve">Customer — Dimension Table: contains borrower demographics including name, age, gender, marital status, state, employment type, annual income, dependents, and customer segment</w:t>
      </w:r>
    </w:p>
    <w:p>
      <w:pPr>
        <w:pStyle w:val="ListParagraph"/>
        <w:numPr>
          <w:ilvl w:val="0"/>
          <w:numId w:val="2"/>
        </w:numPr>
        <w:spacing w:after="40" w:before="40"/>
      </w:pPr>
      <w:r>
        <w:rPr>
          <w:rFonts w:ascii="Arial" w:cs="Arial" w:eastAsia="Arial" w:hAnsi="Arial"/>
          <w:color w:val="1E293B"/>
          <w:sz w:val="22"/>
          <w:szCs w:val="22"/>
        </w:rPr>
        <w:t xml:space="preserve">Credit — Dimension Table: contains credit risk profiles including credit score, open accounts, past defaults, credit utilisation ratio, credit history years, inquiries, and risk grade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4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Details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Dimension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250 rows | Primary Key: customer_id</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Loan</w:t>
            </w:r>
          </w:p>
        </w:tc>
        <w:tc>
          <w:tcPr>
            <w:tcW w:type="dxa" w:w="24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Master / Fact</w:t>
            </w:r>
          </w:p>
        </w:tc>
        <w:tc>
          <w:tcPr>
            <w:tcW w:type="dxa" w:w="4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300 rows | Primary Key: loan_id | FK: customer_id, credit_profile_id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Dimension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250 rows | Primary Key: credit_profile_id</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2.3 Project Phases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49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 / Technology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Data Generation &amp; Cleaning</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Gemini AI + Microsoft Excel</w:t>
            </w:r>
          </w:p>
        </w:tc>
      </w:tr>
      <w:tr>
        <w:tc>
          <w:tcPr>
            <w:tcW w:type="dxa" w:w="14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2</w:t>
            </w:r>
          </w:p>
        </w:tc>
        <w:tc>
          <w:tcPr>
            <w:tcW w:type="dxa" w:w="3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ETL Pipeline &amp; Database Loading</w:t>
            </w:r>
          </w:p>
        </w:tc>
        <w:tc>
          <w:tcPr>
            <w:tcW w:type="dxa" w:w="49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MySQL + Pentaho (Spoon)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SQL Analysis — 40 Queries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MySQL Workbench</w:t>
            </w:r>
          </w:p>
        </w:tc>
      </w:tr>
      <w:tr>
        <w:tc>
          <w:tcPr>
            <w:tcW w:type="dxa" w:w="14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4</w:t>
            </w:r>
          </w:p>
        </w:tc>
        <w:tc>
          <w:tcPr>
            <w:tcW w:type="dxa" w:w="3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Exploratory Data Analysis</w:t>
            </w:r>
          </w:p>
        </w:tc>
        <w:tc>
          <w:tcPr>
            <w:tcW w:type="dxa" w:w="49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Python (Jupyter Notebook)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Dashboard &amp; Presentation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Power BI + PowerPoint</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3. Data Sources &amp; Schema</w:t>
      </w:r>
    </w:p>
    <w:p>
      <w:pPr>
        <w:spacing w:after="60" w:before="60" w:line="276"/>
      </w:pPr>
      <w:r>
        <w:rPr>
          <w:rFonts w:ascii="Arial" w:cs="Arial" w:eastAsia="Arial" w:hAnsi="Arial"/>
          <w:color w:val="1E293B"/>
          <w:sz w:val="22"/>
          <w:szCs w:val="22"/>
        </w:rPr>
        <w:t xml:space="preserve">All data was generated synthetically using Gemini AI and then cleaned and enriched in Microsoft Excel. Three CSV files were produced and subsequently loaded into MySQL via an ETL pipeline.</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3.1 Customer — Dimension Table</w:t>
      </w:r>
    </w:p>
    <w:p>
      <w:pPr>
        <w:spacing w:after="60" w:before="60" w:line="276"/>
      </w:pPr>
      <w:r>
        <w:rPr>
          <w:rFonts w:ascii="Arial" w:cs="Arial" w:eastAsia="Arial" w:hAnsi="Arial"/>
          <w:color w:val="1E293B"/>
          <w:sz w:val="22"/>
          <w:szCs w:val="22"/>
        </w:rPr>
        <w:t xml:space="preserve">Grain: One row per unique customer. Contains all borrower demographic and socio-economic attributes.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customer_id</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Unique customer identifier (Primary Key)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customer_name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VARCHAR(100)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Full name of the borrower</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age</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Age of the customer in years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gender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VARCHAR(10)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Gender: Male / Female</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marital_status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VARCHAR(20)</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Marital status: Single / Married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state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VARCHAR(50)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State of residence: Bihar, Delhi, Karnataka, Maharashtra, Madhya Pradesh</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employment_type</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VARCHAR(30)</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Employment type: Salaried / Self-employed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annual_income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DECIMAL(15,2)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 income of the borrower (INR)</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dependents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Number of financial dependents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customer_segment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VARCHAR(20)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Income segment: High / Medium / Low (derived in Excel)</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3.2 Loan — Master (Fact) Table</w:t>
      </w:r>
    </w:p>
    <w:p>
      <w:pPr>
        <w:spacing w:after="60" w:before="60" w:line="276"/>
      </w:pPr>
      <w:r>
        <w:rPr>
          <w:rFonts w:ascii="Arial" w:cs="Arial" w:eastAsia="Arial" w:hAnsi="Arial"/>
          <w:color w:val="1E293B"/>
          <w:sz w:val="22"/>
          <w:szCs w:val="22"/>
        </w:rPr>
        <w:t xml:space="preserve">Grain: One row per loan disbursement. All financial and repayment fields reside here.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loan_id</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Unique loan identifier (Primary Key)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customer_id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Foreign Key referencing Customer table</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credit_profile_id</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Foreign Key referencing Credit table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loan_amount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DECIMAL(15,2)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Principal loan amount disbursed (INR)</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interest_rate</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DECIMAL(5,2)</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 interest rate applied (%)</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tenure_months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Loan repayment duration in months (20 / 24 / 36 / 48 / 60)</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emi</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DECIMAL(12,2)</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Monthly EMI amount (INR)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disbursal_date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Date on which the loan was disbursed</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dti_ratio</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DECIMAL(5,2)</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Debt-to-Income ratio at time of disbursement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default_flag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TINYINT(1)</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Binary default indicator: 0 = No Default, 1 = Defaulted</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loan_status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VARCHAR(20)</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Current status: Active / Default / Closed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total_paid_amount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DECIMAL(15,2)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amount paid by borrower to date (INR)</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outstanding_amount</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DECIMAL(15,2)</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Remaining balance outstanding (INR)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days_past_due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Number of days payment is overdue</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3.3 Credit — Dimension Table</w:t>
      </w:r>
    </w:p>
    <w:p>
      <w:pPr>
        <w:spacing w:after="60" w:before="60" w:line="276"/>
      </w:pPr>
      <w:r>
        <w:rPr>
          <w:rFonts w:ascii="Arial" w:cs="Arial" w:eastAsia="Arial" w:hAnsi="Arial"/>
          <w:color w:val="1E293B"/>
          <w:sz w:val="22"/>
          <w:szCs w:val="22"/>
        </w:rPr>
        <w:t xml:space="preserve">Grain: One row per credit profile. Contains all credit risk and bureau-related attributes.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credit_profile_id</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Unique credit profile identifier (Primary Key)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credit_score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bureau score (range: 300–898)</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total_open_accounts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number of active credit accounts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past_defaults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Count of historical defaults on record</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credit_utilization_ratio</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DECIMAL(4,2)</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Ratio of credit used to total credit limit (0.10–0.95)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credit_history_years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Duration of credit history in years</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inquiries_last_6_months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INT</w:t>
            </w:r>
          </w:p>
        </w:tc>
        <w:tc>
          <w:tcPr>
            <w:tcW w:type="dxa" w:w="5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Number of credit inquiries in the last 6 months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risk_grade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VARCHAR(2)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classification: A (Lowest) / B / C / D (Highest)</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4. Phase 1 — Data Generation &amp; Cleaning in Excel</w:t>
      </w:r>
    </w:p>
    <w:p>
      <w:pPr>
        <w:pStyle w:val="Heading2"/>
        <w:spacing w:after="80" w:before="240"/>
      </w:pPr>
      <w:r>
        <w:rPr>
          <w:rFonts w:ascii="Arial" w:cs="Arial" w:eastAsia="Arial" w:hAnsi="Arial"/>
          <w:b/>
          <w:bCs/>
          <w:color w:val="0D1B2A"/>
          <w:sz w:val="26"/>
          <w:szCs w:val="26"/>
        </w:rPr>
        <w:t xml:space="preserve">4.1 Data Generation</w:t>
      </w:r>
    </w:p>
    <w:p>
      <w:pPr>
        <w:spacing w:after="60" w:before="60" w:line="276"/>
      </w:pPr>
      <w:r>
        <w:rPr>
          <w:rFonts w:ascii="Arial" w:cs="Arial" w:eastAsia="Arial" w:hAnsi="Arial"/>
          <w:color w:val="1E293B"/>
          <w:sz w:val="22"/>
          <w:szCs w:val="22"/>
        </w:rPr>
        <w:t xml:space="preserve">Raw loan data was generated using Gemini AI to simulate a realistic Indian banking portfolio. The generation process produced three separate CSV files covering customer demographics, loan records, and credit risk profiles. The data was validated for statistical realism including appropriate distributions of credit scores, income levels, and loan statuses.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4.2 Cleaning Steps Performed (All Three Files)</w:t>
      </w:r>
    </w:p>
    <w:p>
      <w:pPr>
        <w:pStyle w:val="ListParagraph"/>
        <w:numPr>
          <w:ilvl w:val="0"/>
          <w:numId w:val="2"/>
        </w:numPr>
        <w:spacing w:after="40" w:before="40"/>
      </w:pPr>
      <w:r>
        <w:rPr>
          <w:rFonts w:ascii="Arial" w:cs="Arial" w:eastAsia="Arial" w:hAnsi="Arial"/>
          <w:color w:val="1E293B"/>
          <w:sz w:val="22"/>
          <w:szCs w:val="22"/>
        </w:rPr>
        <w:t xml:space="preserve">Removed all duplicate rows across Customer, Loan, and Credit files to ensure referential integrity</w:t>
      </w:r>
    </w:p>
    <w:p>
      <w:pPr>
        <w:pStyle w:val="ListParagraph"/>
        <w:numPr>
          <w:ilvl w:val="0"/>
          <w:numId w:val="2"/>
        </w:numPr>
        <w:spacing w:after="40" w:before="40"/>
      </w:pPr>
      <w:r>
        <w:rPr>
          <w:rFonts w:ascii="Arial" w:cs="Arial" w:eastAsia="Arial" w:hAnsi="Arial"/>
          <w:color w:val="1E293B"/>
          <w:sz w:val="22"/>
          <w:szCs w:val="22"/>
        </w:rPr>
        <w:t xml:space="preserve">Standardised date formats in the disbursal_date column to DD-MM-YYYY across all 300 loan records</w:t>
      </w:r>
    </w:p>
    <w:p>
      <w:pPr>
        <w:pStyle w:val="ListParagraph"/>
        <w:numPr>
          <w:ilvl w:val="0"/>
          <w:numId w:val="2"/>
        </w:numPr>
        <w:spacing w:after="40" w:before="40"/>
      </w:pPr>
      <w:r>
        <w:rPr>
          <w:rFonts w:ascii="Arial" w:cs="Arial" w:eastAsia="Arial" w:hAnsi="Arial"/>
          <w:color w:val="1E293B"/>
          <w:sz w:val="22"/>
          <w:szCs w:val="22"/>
        </w:rPr>
        <w:t xml:space="preserve">Corrected inconsistent text casing in categorical fields: gender, marital_status, employment_type, state, loan_status, and risk_grade</w:t>
      </w:r>
    </w:p>
    <w:p>
      <w:pPr>
        <w:pStyle w:val="ListParagraph"/>
        <w:numPr>
          <w:ilvl w:val="0"/>
          <w:numId w:val="2"/>
        </w:numPr>
        <w:spacing w:after="40" w:before="40"/>
      </w:pPr>
      <w:r>
        <w:rPr>
          <w:rFonts w:ascii="Arial" w:cs="Arial" w:eastAsia="Arial" w:hAnsi="Arial"/>
          <w:color w:val="1E293B"/>
          <w:sz w:val="22"/>
          <w:szCs w:val="22"/>
        </w:rPr>
        <w:t xml:space="preserve">Validated all numeric columns for out-of-range values — credit scores constrained to 300–898, interest rates to 8%–18%, tenure to 20/24/36/48/60 months</w:t>
      </w:r>
    </w:p>
    <w:p>
      <w:pPr>
        <w:pStyle w:val="ListParagraph"/>
        <w:numPr>
          <w:ilvl w:val="0"/>
          <w:numId w:val="2"/>
        </w:numPr>
        <w:spacing w:after="40" w:before="40"/>
      </w:pPr>
      <w:r>
        <w:rPr>
          <w:rFonts w:ascii="Arial" w:cs="Arial" w:eastAsia="Arial" w:hAnsi="Arial"/>
          <w:color w:val="1E293B"/>
          <w:sz w:val="22"/>
          <w:szCs w:val="22"/>
        </w:rPr>
        <w:t xml:space="preserve">Cross-checked referential integrity between customer_id (Customer → Loan) and credit_profile_id (Credit → Loan)</w:t>
      </w:r>
    </w:p>
    <w:p>
      <w:pPr>
        <w:pStyle w:val="ListParagraph"/>
        <w:numPr>
          <w:ilvl w:val="0"/>
          <w:numId w:val="2"/>
        </w:numPr>
        <w:spacing w:after="40" w:before="40"/>
      </w:pPr>
      <w:r>
        <w:rPr>
          <w:rFonts w:ascii="Arial" w:cs="Arial" w:eastAsia="Arial" w:hAnsi="Arial"/>
          <w:color w:val="1E293B"/>
          <w:sz w:val="22"/>
          <w:szCs w:val="22"/>
        </w:rPr>
        <w:t xml:space="preserve">Replaced blank or erroneous values in days_past_due with 0 for active loans with no overdue</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4.3 Derived / Engineered Columns Created in Excel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New Column</w:t>
            </w:r>
          </w:p>
        </w:tc>
        <w:tc>
          <w:tcPr>
            <w:tcW w:type="dxa" w:w="6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Derivation Logic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customer_segment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Derived from annual_income — High (&gt;₹15L), Medium (₹8L–₹15L), Low (&lt;₹8L)</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default_flag</w:t>
            </w:r>
          </w:p>
        </w:tc>
        <w:tc>
          <w:tcPr>
            <w:tcW w:type="dxa" w:w="6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Binary flag derived from loan_status — 0 for Active/Closed, 1 for Default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dti_ratio</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Calculated as EMI / Monthly Income to represent debt burden</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5. Phase 2 — ETL Pipeline &amp; Database Setup</w:t>
      </w:r>
    </w:p>
    <w:p>
      <w:pPr>
        <w:pStyle w:val="Heading2"/>
        <w:spacing w:after="80" w:before="240"/>
      </w:pPr>
      <w:r>
        <w:rPr>
          <w:rFonts w:ascii="Arial" w:cs="Arial" w:eastAsia="Arial" w:hAnsi="Arial"/>
          <w:b/>
          <w:bCs/>
          <w:color w:val="0D1B2A"/>
          <w:sz w:val="26"/>
          <w:szCs w:val="26"/>
        </w:rPr>
        <w:t xml:space="preserve">5.1 Database Creation</w:t>
      </w:r>
    </w:p>
    <w:p>
      <w:pPr>
        <w:pStyle w:val="ListParagraph"/>
        <w:numPr>
          <w:ilvl w:val="0"/>
          <w:numId w:val="2"/>
        </w:numPr>
        <w:spacing w:after="40" w:before="40"/>
      </w:pPr>
      <w:r>
        <w:rPr>
          <w:rFonts w:ascii="Arial" w:cs="Arial" w:eastAsia="Arial" w:hAnsi="Arial"/>
          <w:color w:val="1E293B"/>
          <w:sz w:val="22"/>
          <w:szCs w:val="22"/>
        </w:rPr>
        <w:t xml:space="preserve">Created a new MySQL database named BANKLOAN</w:t>
      </w:r>
    </w:p>
    <w:p>
      <w:pPr>
        <w:pStyle w:val="ListParagraph"/>
        <w:numPr>
          <w:ilvl w:val="0"/>
          <w:numId w:val="2"/>
        </w:numPr>
        <w:spacing w:after="40" w:before="40"/>
      </w:pPr>
      <w:r>
        <w:rPr>
          <w:rFonts w:ascii="Arial" w:cs="Arial" w:eastAsia="Arial" w:hAnsi="Arial"/>
          <w:color w:val="1E293B"/>
          <w:sz w:val="22"/>
          <w:szCs w:val="22"/>
        </w:rPr>
        <w:t xml:space="preserve">Designed three table structures in SQL — Customer, Loan, and Credit — with appropriate column names, data types, constraints, and primary/foreign key relationships</w:t>
      </w:r>
    </w:p>
    <w:p>
      <w:pPr>
        <w:pStyle w:val="ListParagraph"/>
        <w:numPr>
          <w:ilvl w:val="0"/>
          <w:numId w:val="2"/>
        </w:numPr>
        <w:spacing w:after="40" w:before="40"/>
      </w:pPr>
      <w:r>
        <w:rPr>
          <w:rFonts w:ascii="Arial" w:cs="Arial" w:eastAsia="Arial" w:hAnsi="Arial"/>
          <w:color w:val="1E293B"/>
          <w:sz w:val="22"/>
          <w:szCs w:val="22"/>
        </w:rPr>
        <w:t xml:space="preserve">Customer.customer_id is the primary key referenced by Loan.customer_id</w:t>
      </w:r>
    </w:p>
    <w:p>
      <w:pPr>
        <w:pStyle w:val="ListParagraph"/>
        <w:numPr>
          <w:ilvl w:val="0"/>
          <w:numId w:val="2"/>
        </w:numPr>
        <w:spacing w:after="40" w:before="40"/>
      </w:pPr>
      <w:r>
        <w:rPr>
          <w:rFonts w:ascii="Arial" w:cs="Arial" w:eastAsia="Arial" w:hAnsi="Arial"/>
          <w:color w:val="1E293B"/>
          <w:sz w:val="22"/>
          <w:szCs w:val="22"/>
        </w:rPr>
        <w:t xml:space="preserve">Credit.credit_profile_id is the primary key referenced by Loan.credit_profile_id</w:t>
      </w:r>
    </w:p>
    <w:p>
      <w:pPr>
        <w:pStyle w:val="ListParagraph"/>
        <w:numPr>
          <w:ilvl w:val="0"/>
          <w:numId w:val="2"/>
        </w:numPr>
        <w:spacing w:after="40" w:before="40"/>
      </w:pPr>
      <w:r>
        <w:rPr>
          <w:rFonts w:ascii="Arial" w:cs="Arial" w:eastAsia="Arial" w:hAnsi="Arial"/>
          <w:color w:val="1E293B"/>
          <w:sz w:val="22"/>
          <w:szCs w:val="22"/>
        </w:rPr>
        <w:t xml:space="preserve">The Loan table acts as the central fact table linking both dimension tables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5.2 ETL Loading Process</w:t>
      </w:r>
    </w:p>
    <w:p>
      <w:pPr>
        <w:pStyle w:val="ListParagraph"/>
        <w:numPr>
          <w:ilvl w:val="0"/>
          <w:numId w:val="2"/>
        </w:numPr>
        <w:spacing w:after="40" w:before="40"/>
      </w:pPr>
      <w:r>
        <w:rPr>
          <w:rFonts w:ascii="Arial" w:cs="Arial" w:eastAsia="Arial" w:hAnsi="Arial"/>
          <w:color w:val="1E293B"/>
          <w:sz w:val="22"/>
          <w:szCs w:val="22"/>
        </w:rPr>
        <w:t xml:space="preserve">All three cleaned CSV files were loaded into the BANKLOAN MySQL database using Pentaho Spoon (Data Integration)</w:t>
      </w:r>
    </w:p>
    <w:p>
      <w:pPr>
        <w:pStyle w:val="ListParagraph"/>
        <w:numPr>
          <w:ilvl w:val="0"/>
          <w:numId w:val="2"/>
        </w:numPr>
        <w:spacing w:after="40" w:before="40"/>
      </w:pPr>
      <w:r>
        <w:rPr>
          <w:rFonts w:ascii="Arial" w:cs="Arial" w:eastAsia="Arial" w:hAnsi="Arial"/>
          <w:color w:val="1E293B"/>
          <w:sz w:val="22"/>
          <w:szCs w:val="22"/>
        </w:rPr>
        <w:t xml:space="preserve">ETL transformations included data type casting, NULL handling, and referential integrity validation prior to load</w:t>
      </w:r>
    </w:p>
    <w:p>
      <w:pPr>
        <w:pStyle w:val="ListParagraph"/>
        <w:numPr>
          <w:ilvl w:val="0"/>
          <w:numId w:val="2"/>
        </w:numPr>
        <w:spacing w:after="40" w:before="40"/>
      </w:pPr>
      <w:r>
        <w:rPr>
          <w:rFonts w:ascii="Arial" w:cs="Arial" w:eastAsia="Arial" w:hAnsi="Arial"/>
          <w:color w:val="1E293B"/>
          <w:sz w:val="22"/>
          <w:szCs w:val="22"/>
        </w:rPr>
        <w:t xml:space="preserve">Load sequence: Credit → Customer → Loan (to respect foreign key dependencies)</w:t>
      </w:r>
    </w:p>
    <w:p>
      <w:pPr>
        <w:pStyle w:val="ListParagraph"/>
        <w:numPr>
          <w:ilvl w:val="0"/>
          <w:numId w:val="2"/>
        </w:numPr>
        <w:spacing w:after="40" w:before="40"/>
      </w:pPr>
      <w:r>
        <w:rPr>
          <w:rFonts w:ascii="Arial" w:cs="Arial" w:eastAsia="Arial" w:hAnsi="Arial"/>
          <w:color w:val="1E293B"/>
          <w:sz w:val="22"/>
          <w:szCs w:val="22"/>
        </w:rPr>
        <w:t xml:space="preserve">Post-load record counts verified: 250 customers, 300 loans, 250 credit profiles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5.3 Database Relationships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Relationship</w:t>
            </w:r>
          </w:p>
        </w:tc>
        <w:tc>
          <w:tcPr>
            <w:tcW w:type="dxa" w:w="63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 ← Loan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One-to-Many: One customer can have multiple loans (FK: customer_id)</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 ← Loan</w:t>
            </w:r>
          </w:p>
        </w:tc>
        <w:tc>
          <w:tcPr>
            <w:tcW w:type="dxa" w:w="6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One-to-One: Each loan links to exactly one credit profile (FK: credit_profile_id)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Customer ↔ Credit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Indirect via Loan: Customer credit profile accessible through the Loan table</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6. Phase 3 — SQL Analysis</w:t>
      </w:r>
    </w:p>
    <w:p>
      <w:pPr>
        <w:spacing w:after="60" w:before="60" w:line="276"/>
      </w:pPr>
      <w:r>
        <w:rPr>
          <w:rFonts w:ascii="Arial" w:cs="Arial" w:eastAsia="Arial" w:hAnsi="Arial"/>
          <w:color w:val="1E293B"/>
          <w:sz w:val="22"/>
          <w:szCs w:val="22"/>
        </w:rPr>
        <w:t xml:space="preserve">40 analytical SQL queries were written across three table areas: Customer Analysis, Loan Analysis, and Credit Analysis. Queries range from basic SELECT statements to complex multi-table JOINs, subqueries, CASE expressions, CTEs, and Window Functions.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6.1 Customer Table Queries</w:t>
      </w:r>
    </w:p>
    <w:p>
      <w:pPr>
        <w:spacing w:after="60" w:before="60" w:line="276"/>
      </w:pPr>
      <w:r>
        <w:rPr>
          <w:rFonts w:ascii="Arial" w:cs="Arial" w:eastAsia="Arial" w:hAnsi="Arial"/>
          <w:color w:val="1E293B"/>
          <w:sz w:val="22"/>
          <w:szCs w:val="22"/>
        </w:rPr>
        <w:t xml:space="preserve">Five representative queries focused on customer demographics, income distribution, and state-level segmentation: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w:t>
            </w:r>
          </w:p>
        </w:tc>
        <w:tc>
          <w:tcPr>
            <w:tcW w:type="dxa" w:w="8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Description</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Show only customer_id, customer_name, and annual_income from the Customer table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Q3</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customers whose annual_income is greater than ₹600,000</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Q5</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Show all customers who belong to a particular state (e.g., Maharashtra)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Q6</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Display customers ordered by annual_income in descending order</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Q29</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Create income category column: High Income (&gt;₹20L), Medium Income (₹8L–₹15L), Low Income (otherwise) using CASE</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6.2 Loan Table Queries</w:t>
      </w:r>
    </w:p>
    <w:p>
      <w:pPr>
        <w:spacing w:after="60" w:before="60" w:line="276"/>
      </w:pPr>
      <w:r>
        <w:rPr>
          <w:rFonts w:ascii="Arial" w:cs="Arial" w:eastAsia="Arial" w:hAnsi="Arial"/>
          <w:color w:val="1E293B"/>
          <w:sz w:val="22"/>
          <w:szCs w:val="22"/>
        </w:rPr>
        <w:t xml:space="preserve">Five representative queries focused on loan amounts, tenure, interest rates, and repayment patterns: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w:t>
            </w:r>
          </w:p>
        </w:tc>
        <w:tc>
          <w:tcPr>
            <w:tcW w:type="dxa" w:w="8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Description</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Q4</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Display all loans where loan_amount &gt; ₹300,000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Q7</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Show all loans ordered by interest_rate from lowest to highest</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Q8</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Display the top 5 highest loan amounts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Q12</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Calculate the total loan amount issued (SUM)</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Q36</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Calculate running total of loan amount ordered by disbursal_date using SUM() window function</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6.3 Credit Table Queries</w:t>
      </w:r>
    </w:p>
    <w:p>
      <w:pPr>
        <w:spacing w:after="60" w:before="60" w:line="276"/>
      </w:pPr>
      <w:r>
        <w:rPr>
          <w:rFonts w:ascii="Arial" w:cs="Arial" w:eastAsia="Arial" w:hAnsi="Arial"/>
          <w:color w:val="1E293B"/>
          <w:sz w:val="22"/>
          <w:szCs w:val="22"/>
        </w:rPr>
        <w:t xml:space="preserve">Five representative queries focused on credit scores, risk grading, and utilisation patterns: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w:t>
            </w:r>
          </w:p>
        </w:tc>
        <w:tc>
          <w:tcPr>
            <w:tcW w:type="dxa" w:w="8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Description</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Q11</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the maximum and minimum credit score from the Credit table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Q13</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customers where credit_score is NULL</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Q28</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Categorise customers as High Risk (score &lt; 600), Medium Risk (600–750), Low Risk (&gt;750) using CASE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Q31</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customers whose credit score is higher than the average credit score (subquery)</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Q38</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Using CTE, find customers whose credit score is below the average credit score of their state</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6.4 Multi-Table &amp; Advanced Queries</w:t>
      </w:r>
    </w:p>
    <w:p>
      <w:pPr>
        <w:spacing w:after="60" w:before="60" w:line="276"/>
      </w:pPr>
      <w:r>
        <w:rPr>
          <w:rFonts w:ascii="Arial" w:cs="Arial" w:eastAsia="Arial" w:hAnsi="Arial"/>
          <w:color w:val="1E293B"/>
          <w:sz w:val="22"/>
          <w:szCs w:val="22"/>
        </w:rPr>
        <w:t xml:space="preserve">Five representative queries involving JOINs, subqueries, and window functions across all three tables: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w:t>
            </w:r>
          </w:p>
        </w:tc>
        <w:tc>
          <w:tcPr>
            <w:tcW w:type="dxa" w:w="8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Description</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Q23</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Join Customer and Loan to display customer name with corresponding loan amount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Q24</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Join Customer and Credit (via Loan) to show customer name and credit score</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Q25</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Display customer name, loan amount, and credit score using a three-table JOIN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Q26</w:t>
            </w:r>
          </w:p>
        </w:tc>
        <w:tc>
          <w:tcPr>
            <w:tcW w:type="dxa" w:w="8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customers who have taken more than one loan (GROUP BY + HAVING)</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bCs/>
                <w:color w:val="1E293B"/>
                <w:sz w:val="20"/>
                <w:szCs w:val="20"/>
              </w:rPr>
              <w:t xml:space="preserve">Q35</w:t>
            </w:r>
          </w:p>
        </w:tc>
        <w:tc>
          <w:tcPr>
            <w:tcW w:type="dxa" w:w="8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the top 3 highest loan amounts in each state using RANK() window function partitioned by state</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6.5 Feature Engineering Queries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Derived Metric</w:t>
            </w:r>
          </w:p>
        </w:tc>
        <w:tc>
          <w:tcPr>
            <w:tcW w:type="dxa" w:w="61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EMI-to-Income Ratio</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EMI divided by monthly income — measures affordability per loan</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Outstanding %</w:t>
            </w:r>
          </w:p>
        </w:tc>
        <w:tc>
          <w:tcPr>
            <w:tcW w:type="dxa" w:w="6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(outstanding_amount / loan_amount) × 100 — proportion of loan still unpaid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Income vs Loan Gap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 income minus loan amount — indicates over/under-leveraging</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Credit Utilisation Band</w:t>
            </w:r>
          </w:p>
        </w:tc>
        <w:tc>
          <w:tcPr>
            <w:tcW w:type="dxa" w:w="6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CASE-based banding of credit_utilization_ratio: Low / Medium / 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State Risk Score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Average credit score grouped by state — geographic risk profiling</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Loan Burden Grade</w:t>
            </w:r>
          </w:p>
        </w:tc>
        <w:tc>
          <w:tcPr>
            <w:tcW w:type="dxa" w:w="61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Composite score using DTI ratio + risk_grade for holistic risk view</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7. Phase 4 — Exploratory Data Analysis in Python</w:t>
      </w:r>
    </w:p>
    <w:p>
      <w:pPr>
        <w:spacing w:after="60" w:before="60" w:line="276"/>
      </w:pPr>
      <w:r>
        <w:rPr>
          <w:rFonts w:ascii="Arial" w:cs="Arial" w:eastAsia="Arial" w:hAnsi="Arial"/>
          <w:color w:val="1E293B"/>
          <w:sz w:val="22"/>
          <w:szCs w:val="22"/>
        </w:rPr>
        <w:t xml:space="preserve">Python EDA was conducted in a Jupyter Notebook. All three datasets were imported from CSV, merged using common keys, and analysed both statistically and visually to surface patterns, anomalies, and business insights.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7.1 Libraries Used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Library</w:t>
            </w:r>
          </w:p>
        </w:tc>
        <w:tc>
          <w:tcPr>
            <w:tcW w:type="dxa" w:w="65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Pandas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Data loading, merging, grouping, and aggregation</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NumPy</w:t>
            </w:r>
          </w:p>
        </w:tc>
        <w:tc>
          <w:tcPr>
            <w:tcW w:type="dxa" w:w="6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Numerical computations and array operations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Matplotlib</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Base charts — bar plots, histograms, line charts</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Seaborn</w:t>
            </w:r>
          </w:p>
        </w:tc>
        <w:tc>
          <w:tcPr>
            <w:tcW w:type="dxa" w:w="65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Statistical visualisations — heatmaps, box plots, count plots</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7.2 EDA Steps Performed</w:t>
      </w:r>
    </w:p>
    <w:p>
      <w:pPr>
        <w:pStyle w:val="ListParagraph"/>
        <w:numPr>
          <w:ilvl w:val="0"/>
          <w:numId w:val="2"/>
        </w:numPr>
        <w:spacing w:after="40" w:before="40"/>
      </w:pPr>
      <w:r>
        <w:rPr>
          <w:rFonts w:ascii="Arial" w:cs="Arial" w:eastAsia="Arial" w:hAnsi="Arial"/>
          <w:color w:val="1E293B"/>
          <w:sz w:val="22"/>
          <w:szCs w:val="22"/>
        </w:rPr>
        <w:t xml:space="preserve">Loaded all three CSV files (Customer, Loan, Credit) into Pandas DataFrames</w:t>
      </w:r>
    </w:p>
    <w:p>
      <w:pPr>
        <w:pStyle w:val="ListParagraph"/>
        <w:numPr>
          <w:ilvl w:val="0"/>
          <w:numId w:val="2"/>
        </w:numPr>
        <w:spacing w:after="40" w:before="40"/>
      </w:pPr>
      <w:r>
        <w:rPr>
          <w:rFonts w:ascii="Arial" w:cs="Arial" w:eastAsia="Arial" w:hAnsi="Arial"/>
          <w:color w:val="1E293B"/>
          <w:sz w:val="22"/>
          <w:szCs w:val="22"/>
        </w:rPr>
        <w:t xml:space="preserve">Merged Loan with Customer on customer_id and with Credit on credit_profile_id to create a unified analytical dataset</w:t>
      </w:r>
    </w:p>
    <w:p>
      <w:pPr>
        <w:pStyle w:val="ListParagraph"/>
        <w:numPr>
          <w:ilvl w:val="0"/>
          <w:numId w:val="2"/>
        </w:numPr>
        <w:spacing w:after="40" w:before="40"/>
      </w:pPr>
      <w:r>
        <w:rPr>
          <w:rFonts w:ascii="Arial" w:cs="Arial" w:eastAsia="Arial" w:hAnsi="Arial"/>
          <w:color w:val="1E293B"/>
          <w:sz w:val="22"/>
          <w:szCs w:val="22"/>
        </w:rPr>
        <w:t xml:space="preserve">Parsed disbursal_date as datetime and extracted Year, Month, and Quarter for temporal analysis</w:t>
      </w:r>
    </w:p>
    <w:p>
      <w:pPr>
        <w:pStyle w:val="ListParagraph"/>
        <w:numPr>
          <w:ilvl w:val="0"/>
          <w:numId w:val="2"/>
        </w:numPr>
        <w:spacing w:after="40" w:before="40"/>
      </w:pPr>
      <w:r>
        <w:rPr>
          <w:rFonts w:ascii="Arial" w:cs="Arial" w:eastAsia="Arial" w:hAnsi="Arial"/>
          <w:color w:val="1E293B"/>
          <w:sz w:val="22"/>
          <w:szCs w:val="22"/>
        </w:rPr>
        <w:t xml:space="preserve">Univariate analysis: distribution of loan_amount, interest_rate, credit_score, annual_income, tenure_months, and days_past_due</w:t>
      </w:r>
    </w:p>
    <w:p>
      <w:pPr>
        <w:pStyle w:val="ListParagraph"/>
        <w:numPr>
          <w:ilvl w:val="0"/>
          <w:numId w:val="2"/>
        </w:numPr>
        <w:spacing w:after="40" w:before="40"/>
      </w:pPr>
      <w:r>
        <w:rPr>
          <w:rFonts w:ascii="Arial" w:cs="Arial" w:eastAsia="Arial" w:hAnsi="Arial"/>
          <w:color w:val="1E293B"/>
          <w:sz w:val="22"/>
          <w:szCs w:val="22"/>
        </w:rPr>
        <w:t xml:space="preserve">Bivariate analysis: loan_amount vs credit_score, annual_income vs loan_amount, DTI ratio by loan_status</w:t>
      </w:r>
    </w:p>
    <w:p>
      <w:pPr>
        <w:pStyle w:val="ListParagraph"/>
        <w:numPr>
          <w:ilvl w:val="0"/>
          <w:numId w:val="2"/>
        </w:numPr>
        <w:spacing w:after="40" w:before="40"/>
      </w:pPr>
      <w:r>
        <w:rPr>
          <w:rFonts w:ascii="Arial" w:cs="Arial" w:eastAsia="Arial" w:hAnsi="Arial"/>
          <w:color w:val="1E293B"/>
          <w:sz w:val="22"/>
          <w:szCs w:val="22"/>
        </w:rPr>
        <w:t xml:space="preserve">Correlation heatmap across all numerical columns to identify co-linear variables</w:t>
      </w:r>
    </w:p>
    <w:p>
      <w:pPr>
        <w:pStyle w:val="ListParagraph"/>
        <w:numPr>
          <w:ilvl w:val="0"/>
          <w:numId w:val="2"/>
        </w:numPr>
        <w:spacing w:after="40" w:before="40"/>
      </w:pPr>
      <w:r>
        <w:rPr>
          <w:rFonts w:ascii="Arial" w:cs="Arial" w:eastAsia="Arial" w:hAnsi="Arial"/>
          <w:color w:val="1E293B"/>
          <w:sz w:val="22"/>
          <w:szCs w:val="22"/>
        </w:rPr>
        <w:t xml:space="preserve">Loan status distribution analysis: Active vs Default vs Closed proportions</w:t>
      </w:r>
    </w:p>
    <w:p>
      <w:pPr>
        <w:pStyle w:val="ListParagraph"/>
        <w:numPr>
          <w:ilvl w:val="0"/>
          <w:numId w:val="2"/>
        </w:numPr>
        <w:spacing w:after="40" w:before="40"/>
      </w:pPr>
      <w:r>
        <w:rPr>
          <w:rFonts w:ascii="Arial" w:cs="Arial" w:eastAsia="Arial" w:hAnsi="Arial"/>
          <w:color w:val="1E293B"/>
          <w:sz w:val="22"/>
          <w:szCs w:val="22"/>
        </w:rPr>
        <w:t xml:space="preserve">State-wise loan portfolio analysis: total disbursement, average credit score, and customer count per state</w:t>
      </w:r>
    </w:p>
    <w:p>
      <w:pPr>
        <w:pStyle w:val="ListParagraph"/>
        <w:numPr>
          <w:ilvl w:val="0"/>
          <w:numId w:val="2"/>
        </w:numPr>
        <w:spacing w:after="40" w:before="40"/>
      </w:pPr>
      <w:r>
        <w:rPr>
          <w:rFonts w:ascii="Arial" w:cs="Arial" w:eastAsia="Arial" w:hAnsi="Arial"/>
          <w:color w:val="1E293B"/>
          <w:sz w:val="22"/>
          <w:szCs w:val="22"/>
        </w:rPr>
        <w:t xml:space="preserve">Customer segment analysis: High / Medium / Low segment contribution to portfolio value</w:t>
      </w:r>
    </w:p>
    <w:p>
      <w:pPr>
        <w:pStyle w:val="ListParagraph"/>
        <w:numPr>
          <w:ilvl w:val="0"/>
          <w:numId w:val="2"/>
        </w:numPr>
        <w:spacing w:after="40" w:before="40"/>
      </w:pPr>
      <w:r>
        <w:rPr>
          <w:rFonts w:ascii="Arial" w:cs="Arial" w:eastAsia="Arial" w:hAnsi="Arial"/>
          <w:color w:val="1E293B"/>
          <w:sz w:val="22"/>
          <w:szCs w:val="22"/>
        </w:rPr>
        <w:t xml:space="preserve">Risk grade distribution: count of A / B / C / D grade borrowers and their default rates</w:t>
      </w:r>
    </w:p>
    <w:p>
      <w:pPr>
        <w:pStyle w:val="ListParagraph"/>
        <w:numPr>
          <w:ilvl w:val="0"/>
          <w:numId w:val="2"/>
        </w:numPr>
        <w:spacing w:after="40" w:before="40"/>
      </w:pPr>
      <w:r>
        <w:rPr>
          <w:rFonts w:ascii="Arial" w:cs="Arial" w:eastAsia="Arial" w:hAnsi="Arial"/>
          <w:color w:val="1E293B"/>
          <w:sz w:val="22"/>
          <w:szCs w:val="22"/>
        </w:rPr>
        <w:t xml:space="preserve">Monthly disbursement trend across 2022–2024 — identified seasonal peaks and the 2023 disbursement dip</w:t>
      </w:r>
    </w:p>
    <w:p>
      <w:pPr>
        <w:pStyle w:val="ListParagraph"/>
        <w:numPr>
          <w:ilvl w:val="0"/>
          <w:numId w:val="2"/>
        </w:numPr>
        <w:spacing w:after="40" w:before="40"/>
      </w:pPr>
      <w:r>
        <w:rPr>
          <w:rFonts w:ascii="Arial" w:cs="Arial" w:eastAsia="Arial" w:hAnsi="Arial"/>
          <w:color w:val="1E293B"/>
          <w:sz w:val="22"/>
          <w:szCs w:val="22"/>
        </w:rPr>
        <w:t xml:space="preserve">Employment type impact: comparison of salaried vs self-employed default rates and loan sizes</w:t>
      </w:r>
    </w:p>
    <w:p>
      <w:pPr>
        <w:pStyle w:val="ListParagraph"/>
        <w:numPr>
          <w:ilvl w:val="0"/>
          <w:numId w:val="2"/>
        </w:numPr>
        <w:spacing w:after="40" w:before="40"/>
      </w:pPr>
      <w:r>
        <w:rPr>
          <w:rFonts w:ascii="Arial" w:cs="Arial" w:eastAsia="Arial" w:hAnsi="Arial"/>
          <w:color w:val="1E293B"/>
          <w:sz w:val="22"/>
          <w:szCs w:val="22"/>
        </w:rPr>
        <w:t xml:space="preserve">Box plots for loan_amount and credit_score by risk_grade to visualise risk-return profile</w:t>
      </w:r>
    </w:p>
    <w:p>
      <w:pPr>
        <w:pStyle w:val="ListParagraph"/>
        <w:numPr>
          <w:ilvl w:val="0"/>
          <w:numId w:val="2"/>
        </w:numPr>
        <w:spacing w:after="40" w:before="40"/>
      </w:pPr>
      <w:r>
        <w:rPr>
          <w:rFonts w:ascii="Arial" w:cs="Arial" w:eastAsia="Arial" w:hAnsi="Arial"/>
          <w:color w:val="1E293B"/>
          <w:sz w:val="22"/>
          <w:szCs w:val="22"/>
        </w:rPr>
        <w:t xml:space="preserve">Interest rate distribution by state and risk grade — geographical and risk-based rate analysis</w:t>
      </w:r>
    </w:p>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8. Phase 5 — Power BI Dashboard</w:t>
      </w:r>
    </w:p>
    <w:p>
      <w:pPr>
        <w:spacing w:after="60" w:before="60" w:line="276"/>
      </w:pPr>
      <w:r>
        <w:rPr>
          <w:rFonts w:ascii="Arial" w:cs="Arial" w:eastAsia="Arial" w:hAnsi="Arial"/>
          <w:color w:val="1E293B"/>
          <w:sz w:val="22"/>
          <w:szCs w:val="22"/>
        </w:rPr>
        <w:t xml:space="preserve">A five-page interactive Power BI dashboard was built by connecting directly to the MySQL BANKLOAN database via the MySQL connector in Power BI Desktop. Each page features slicers for Year, State, Customer Segment, Risk Grade, Employment Type, and Loan Status.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8.1 Dashboard Pages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Page</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Dashboard Title</w:t>
            </w:r>
          </w:p>
        </w:tc>
        <w:tc>
          <w:tcPr>
            <w:tcW w:type="dxa" w:w="54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Visuals Included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Overview / Executive Summary</w:t>
            </w:r>
          </w:p>
        </w:tc>
        <w:tc>
          <w:tcPr>
            <w:tcW w:type="dxa" w:w="54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KPIs (Loan Amount, Customers, Avg Credit Score, Active Rate), Customer Segment Portfolio, Loan Count by Month, Risk Grade Distribution, Loan per State, Top 5 Customers</w:t>
            </w:r>
          </w:p>
        </w:tc>
      </w:tr>
      <w:tr>
        <w:tc>
          <w:tcPr>
            <w:tcW w:type="dxa" w:w="9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2</w:t>
            </w:r>
          </w:p>
        </w:tc>
        <w:tc>
          <w:tcPr>
            <w:tcW w:type="dxa" w:w="3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Loan Performance Dashboard</w:t>
            </w:r>
          </w:p>
        </w:tc>
        <w:tc>
          <w:tcPr>
            <w:tcW w:type="dxa" w:w="54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Loan per Year, Active vs Closed Status Doughnut, Loan by Tenure, Loan Portfolio breakdown (Total / Outstanding / Paid), Max Interest Rate per Month trend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Customer Insights Dashboard</w:t>
            </w:r>
          </w:p>
        </w:tc>
        <w:tc>
          <w:tcPr>
            <w:tcW w:type="dxa" w:w="54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KPIs, Gender split, Customers by State bar, Customer Segment distribution, Employment Type split, Marital Status distribution</w:t>
            </w:r>
          </w:p>
        </w:tc>
      </w:tr>
      <w:tr>
        <w:tc>
          <w:tcPr>
            <w:tcW w:type="dxa" w:w="9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4</w:t>
            </w:r>
          </w:p>
        </w:tc>
        <w:tc>
          <w:tcPr>
            <w:tcW w:type="dxa" w:w="3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Credit Risk Dashboard</w:t>
            </w:r>
          </w:p>
        </w:tc>
        <w:tc>
          <w:tcPr>
            <w:tcW w:type="dxa" w:w="54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Avg Credit Score, Risk Grade bar chart, Credit Profile by Grade, Inquiries distribution bar, Credit History scatter plot, Credit Utilisation summary</w:t>
            </w:r>
          </w:p>
        </w:tc>
      </w:tr>
    </w:tbl>
    <w:p>
      <w:pPr>
        <w:spacing w:after="100" w:before="0"/>
      </w:pPr>
      <w:r>
        <w:t xml:space="preserve"/>
      </w:r>
    </w:p>
    <w:p>
      <w:pPr>
        <w:pStyle w:val="Heading2"/>
        <w:spacing w:after="80" w:before="240"/>
      </w:pPr>
      <w:r>
        <w:rPr>
          <w:rFonts w:ascii="Arial" w:cs="Arial" w:eastAsia="Arial" w:hAnsi="Arial"/>
          <w:b/>
          <w:bCs/>
          <w:color w:val="0D1B2A"/>
          <w:sz w:val="26"/>
          <w:szCs w:val="26"/>
        </w:rPr>
        <w:t xml:space="preserve">8.2 Key Dashboard KPIs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53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Total Loan Amount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₹224 Million</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Total Customers</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250 Unique Borrowers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Total Loan Records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300 Loan Transactions</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Average Loan Amount</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₹747,120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Average Credit Score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585.46</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Active Loan Rate</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63% (189 loans)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Closed / Repaid Rate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37% (111 loans)</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Maximum Interest Rate</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17.96% (March peak)</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Minimum Interest Rate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16.13% (April)</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Maximum Loan Amount</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₹1,000,000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Minimum Loan Amount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₹62,000</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Max Credit Score</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898</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Min Credit Score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300</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Avg Customer Age</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40.51 Years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Top State by Customers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Delhi (55 customers)</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Top Customer Segment</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 Segment — ₹95M (42.4%)</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Dominant Risk Grade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Grade D — 117 profiles (46.8%)</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Salaried Borrowers</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162 of 250 (64.8%)</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Self-Employed Borrowers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88 of 250 (35.2%)</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9. Key Findings</w:t>
      </w:r>
    </w:p>
    <w:p>
      <w:pPr>
        <w:pStyle w:val="Heading2"/>
        <w:spacing w:after="80" w:before="240"/>
      </w:pPr>
      <w:r>
        <w:rPr>
          <w:rFonts w:ascii="Arial" w:cs="Arial" w:eastAsia="Arial" w:hAnsi="Arial"/>
          <w:b/>
          <w:bCs/>
          <w:color w:val="0D1B2A"/>
          <w:sz w:val="26"/>
          <w:szCs w:val="26"/>
        </w:rPr>
        <w:t xml:space="preserve">9.1 Loan Portfolio Performance</w:t>
      </w:r>
    </w:p>
    <w:p>
      <w:pPr>
        <w:pStyle w:val="ListParagraph"/>
        <w:numPr>
          <w:ilvl w:val="0"/>
          <w:numId w:val="2"/>
        </w:numPr>
        <w:spacing w:after="40" w:before="40"/>
      </w:pPr>
      <w:r>
        <w:rPr>
          <w:rFonts w:ascii="Arial" w:cs="Arial" w:eastAsia="Arial" w:hAnsi="Arial"/>
          <w:color w:val="1E293B"/>
          <w:sz w:val="22"/>
          <w:szCs w:val="22"/>
        </w:rPr>
        <w:t xml:space="preserve">Total portfolio value of ₹224M across 300 loans reflects a medium-scale regional lending operation</w:t>
      </w:r>
    </w:p>
    <w:p>
      <w:pPr>
        <w:pStyle w:val="ListParagraph"/>
        <w:numPr>
          <w:ilvl w:val="0"/>
          <w:numId w:val="2"/>
        </w:numPr>
        <w:spacing w:after="40" w:before="40"/>
      </w:pPr>
      <w:r>
        <w:rPr>
          <w:rFonts w:ascii="Arial" w:cs="Arial" w:eastAsia="Arial" w:hAnsi="Arial"/>
          <w:color w:val="1E293B"/>
          <w:sz w:val="22"/>
          <w:szCs w:val="22"/>
        </w:rPr>
        <w:t xml:space="preserve">63% of loans remain Active (189), while 37% are Closed — indicating a healthy repayment completion rate</w:t>
      </w:r>
    </w:p>
    <w:p>
      <w:pPr>
        <w:pStyle w:val="ListParagraph"/>
        <w:numPr>
          <w:ilvl w:val="0"/>
          <w:numId w:val="2"/>
        </w:numPr>
        <w:spacing w:after="40" w:before="40"/>
      </w:pPr>
      <w:r>
        <w:rPr>
          <w:rFonts w:ascii="Arial" w:cs="Arial" w:eastAsia="Arial" w:hAnsi="Arial"/>
          <w:color w:val="1E293B"/>
          <w:sz w:val="22"/>
          <w:szCs w:val="22"/>
        </w:rPr>
        <w:t xml:space="preserve">2023 saw the lowest annual disbursement at ₹58M — likely reflecting tighter credit policies or economic headwinds</w:t>
      </w:r>
    </w:p>
    <w:p>
      <w:pPr>
        <w:pStyle w:val="ListParagraph"/>
        <w:numPr>
          <w:ilvl w:val="0"/>
          <w:numId w:val="2"/>
        </w:numPr>
        <w:spacing w:after="40" w:before="40"/>
      </w:pPr>
      <w:r>
        <w:rPr>
          <w:rFonts w:ascii="Arial" w:cs="Arial" w:eastAsia="Arial" w:hAnsi="Arial"/>
          <w:color w:val="1E293B"/>
          <w:sz w:val="22"/>
          <w:szCs w:val="22"/>
        </w:rPr>
        <w:t xml:space="preserve">2024 rebounded strongly to ₹84M — the highest year in the analysis period — signalling portfolio growth</w:t>
      </w:r>
    </w:p>
    <w:p>
      <w:pPr>
        <w:pStyle w:val="ListParagraph"/>
        <w:numPr>
          <w:ilvl w:val="0"/>
          <w:numId w:val="2"/>
        </w:numPr>
        <w:spacing w:after="40" w:before="40"/>
      </w:pPr>
      <w:r>
        <w:rPr>
          <w:rFonts w:ascii="Arial" w:cs="Arial" w:eastAsia="Arial" w:hAnsi="Arial"/>
          <w:color w:val="1E293B"/>
          <w:sz w:val="22"/>
          <w:szCs w:val="22"/>
        </w:rPr>
        <w:t xml:space="preserve">March and August recorded peak disbursement months; November and December showed seasonal dips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9.2 Customer Profile</w:t>
      </w:r>
    </w:p>
    <w:p>
      <w:pPr>
        <w:pStyle w:val="ListParagraph"/>
        <w:numPr>
          <w:ilvl w:val="0"/>
          <w:numId w:val="2"/>
        </w:numPr>
        <w:spacing w:after="40" w:before="40"/>
      </w:pPr>
      <w:r>
        <w:rPr>
          <w:rFonts w:ascii="Arial" w:cs="Arial" w:eastAsia="Arial" w:hAnsi="Arial"/>
          <w:color w:val="1E293B"/>
          <w:sz w:val="22"/>
          <w:szCs w:val="22"/>
        </w:rPr>
        <w:t xml:space="preserve">Majority (64.8%) of borrowers are salaried employees — providing a stable EMI repayment base</w:t>
      </w:r>
    </w:p>
    <w:p>
      <w:pPr>
        <w:pStyle w:val="ListParagraph"/>
        <w:numPr>
          <w:ilvl w:val="0"/>
          <w:numId w:val="2"/>
        </w:numPr>
        <w:spacing w:after="40" w:before="40"/>
      </w:pPr>
      <w:r>
        <w:rPr>
          <w:rFonts w:ascii="Arial" w:cs="Arial" w:eastAsia="Arial" w:hAnsi="Arial"/>
          <w:color w:val="1E293B"/>
          <w:sz w:val="22"/>
          <w:szCs w:val="22"/>
        </w:rPr>
        <w:t xml:space="preserve">Medium-income segment dominates at ₹95M (42.4% of portfolio), followed by High (₹87M) and Low (₹42M)</w:t>
      </w:r>
    </w:p>
    <w:p>
      <w:pPr>
        <w:pStyle w:val="ListParagraph"/>
        <w:numPr>
          <w:ilvl w:val="0"/>
          <w:numId w:val="2"/>
        </w:numPr>
        <w:spacing w:after="40" w:before="40"/>
      </w:pPr>
      <w:r>
        <w:rPr>
          <w:rFonts w:ascii="Arial" w:cs="Arial" w:eastAsia="Arial" w:hAnsi="Arial"/>
          <w:color w:val="1E293B"/>
          <w:sz w:val="22"/>
          <w:szCs w:val="22"/>
        </w:rPr>
        <w:t xml:space="preserve">Delhi leads with 55 customers, followed closely by Maharashtra (54) and Madhya Pradesh (53)</w:t>
      </w:r>
    </w:p>
    <w:p>
      <w:pPr>
        <w:pStyle w:val="ListParagraph"/>
        <w:numPr>
          <w:ilvl w:val="0"/>
          <w:numId w:val="2"/>
        </w:numPr>
        <w:spacing w:after="40" w:before="40"/>
      </w:pPr>
      <w:r>
        <w:rPr>
          <w:rFonts w:ascii="Arial" w:cs="Arial" w:eastAsia="Arial" w:hAnsi="Arial"/>
          <w:color w:val="1E293B"/>
          <w:sz w:val="22"/>
          <w:szCs w:val="22"/>
        </w:rPr>
        <w:t xml:space="preserve">Karnataka has the smallest customer base (41) — representing an under-penetrated market opportunity</w:t>
      </w:r>
    </w:p>
    <w:p>
      <w:pPr>
        <w:pStyle w:val="ListParagraph"/>
        <w:numPr>
          <w:ilvl w:val="0"/>
          <w:numId w:val="2"/>
        </w:numPr>
        <w:spacing w:after="40" w:before="40"/>
      </w:pPr>
      <w:r>
        <w:rPr>
          <w:rFonts w:ascii="Arial" w:cs="Arial" w:eastAsia="Arial" w:hAnsi="Arial"/>
          <w:color w:val="1E293B"/>
          <w:sz w:val="22"/>
          <w:szCs w:val="22"/>
        </w:rPr>
        <w:t xml:space="preserve">Average customer age of 40.5 years places the borrower base firmly in peak earning and borrowing years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9.3 Credit Risk Profile</w:t>
      </w:r>
    </w:p>
    <w:p>
      <w:pPr>
        <w:pStyle w:val="ListParagraph"/>
        <w:numPr>
          <w:ilvl w:val="0"/>
          <w:numId w:val="2"/>
        </w:numPr>
        <w:spacing w:after="40" w:before="40"/>
      </w:pPr>
      <w:r>
        <w:rPr>
          <w:rFonts w:ascii="Arial" w:cs="Arial" w:eastAsia="Arial" w:hAnsi="Arial"/>
          <w:color w:val="1E293B"/>
          <w:sz w:val="22"/>
          <w:szCs w:val="22"/>
        </w:rPr>
        <w:t xml:space="preserve">Average credit score of 585.46 falls in the moderate-risk band — below the industry safe threshold of 700</w:t>
      </w:r>
    </w:p>
    <w:p>
      <w:pPr>
        <w:pStyle w:val="ListParagraph"/>
        <w:numPr>
          <w:ilvl w:val="0"/>
          <w:numId w:val="2"/>
        </w:numPr>
        <w:spacing w:after="40" w:before="40"/>
      </w:pPr>
      <w:r>
        <w:rPr>
          <w:rFonts w:ascii="Arial" w:cs="Arial" w:eastAsia="Arial" w:hAnsi="Arial"/>
          <w:color w:val="1E293B"/>
          <w:sz w:val="22"/>
          <w:szCs w:val="22"/>
        </w:rPr>
        <w:t xml:space="preserve">46.8% of credit profiles (117 of 250) are classified as Grade D (highest risk) — a significant concentration of risk</w:t>
      </w:r>
    </w:p>
    <w:p>
      <w:pPr>
        <w:pStyle w:val="ListParagraph"/>
        <w:numPr>
          <w:ilvl w:val="0"/>
          <w:numId w:val="2"/>
        </w:numPr>
        <w:spacing w:after="40" w:before="40"/>
      </w:pPr>
      <w:r>
        <w:rPr>
          <w:rFonts w:ascii="Arial" w:cs="Arial" w:eastAsia="Arial" w:hAnsi="Arial"/>
          <w:color w:val="1E293B"/>
          <w:sz w:val="22"/>
          <w:szCs w:val="22"/>
        </w:rPr>
        <w:t xml:space="preserve">Only 27 borrowers hold Grade B — the best-performing segment — indicating a thin high-quality lending base</w:t>
      </w:r>
    </w:p>
    <w:p>
      <w:pPr>
        <w:pStyle w:val="ListParagraph"/>
        <w:numPr>
          <w:ilvl w:val="0"/>
          <w:numId w:val="2"/>
        </w:numPr>
        <w:spacing w:after="40" w:before="40"/>
      </w:pPr>
      <w:r>
        <w:rPr>
          <w:rFonts w:ascii="Arial" w:cs="Arial" w:eastAsia="Arial" w:hAnsi="Arial"/>
          <w:color w:val="1E293B"/>
          <w:sz w:val="22"/>
          <w:szCs w:val="22"/>
        </w:rPr>
        <w:t xml:space="preserve">Customers with 4–5 credit inquiries in the last 6 months (89 profiles) show credit-hungry behaviour — a leading default indicator</w:t>
      </w:r>
    </w:p>
    <w:p>
      <w:pPr>
        <w:pStyle w:val="ListParagraph"/>
        <w:numPr>
          <w:ilvl w:val="0"/>
          <w:numId w:val="2"/>
        </w:numPr>
        <w:spacing w:after="40" w:before="40"/>
      </w:pPr>
      <w:r>
        <w:rPr>
          <w:rFonts w:ascii="Arial" w:cs="Arial" w:eastAsia="Arial" w:hAnsi="Arial"/>
          <w:color w:val="1E293B"/>
          <w:sz w:val="22"/>
          <w:szCs w:val="22"/>
        </w:rPr>
        <w:t xml:space="preserve">Credit utilisation ratios range from 0.10 to 0.95 — high utilisation correlated with Grade C and D classifications</w:t>
      </w:r>
    </w:p>
    <w:p>
      <w:pPr>
        <w:spacing w:after="100" w:before="0"/>
      </w:pPr>
      <w:r>
        <w:t xml:space="preserve"/>
      </w:r>
    </w:p>
    <w:p>
      <w:pPr>
        <w:pStyle w:val="Heading2"/>
        <w:spacing w:after="80" w:before="240"/>
      </w:pPr>
      <w:r>
        <w:rPr>
          <w:rFonts w:ascii="Arial" w:cs="Arial" w:eastAsia="Arial" w:hAnsi="Arial"/>
          <w:b/>
          <w:bCs/>
          <w:color w:val="0D1B2A"/>
          <w:sz w:val="26"/>
          <w:szCs w:val="26"/>
        </w:rPr>
        <w:t xml:space="preserve">9.4 Interest Rate &amp; Tenure Patterns</w:t>
      </w:r>
    </w:p>
    <w:p>
      <w:pPr>
        <w:pStyle w:val="ListParagraph"/>
        <w:numPr>
          <w:ilvl w:val="0"/>
          <w:numId w:val="2"/>
        </w:numPr>
        <w:spacing w:after="40" w:before="40"/>
      </w:pPr>
      <w:r>
        <w:rPr>
          <w:rFonts w:ascii="Arial" w:cs="Arial" w:eastAsia="Arial" w:hAnsi="Arial"/>
          <w:color w:val="1E293B"/>
          <w:sz w:val="22"/>
          <w:szCs w:val="22"/>
        </w:rPr>
        <w:t xml:space="preserve">Interest rates ranged from 16.13% to 17.96% — March recorded the peak rate month</w:t>
      </w:r>
    </w:p>
    <w:p>
      <w:pPr>
        <w:pStyle w:val="ListParagraph"/>
        <w:numPr>
          <w:ilvl w:val="0"/>
          <w:numId w:val="2"/>
        </w:numPr>
        <w:spacing w:after="40" w:before="40"/>
      </w:pPr>
      <w:r>
        <w:rPr>
          <w:rFonts w:ascii="Arial" w:cs="Arial" w:eastAsia="Arial" w:hAnsi="Arial"/>
          <w:color w:val="1E293B"/>
          <w:sz w:val="22"/>
          <w:szCs w:val="22"/>
        </w:rPr>
        <w:t xml:space="preserve">Loan tenures of 24 months (64 loans) and 48 months (63 loans) are most common — borrowers prefer shorter-to-medium terms</w:t>
      </w:r>
    </w:p>
    <w:p>
      <w:pPr>
        <w:pStyle w:val="ListParagraph"/>
        <w:numPr>
          <w:ilvl w:val="0"/>
          <w:numId w:val="2"/>
        </w:numPr>
        <w:spacing w:after="40" w:before="40"/>
      </w:pPr>
      <w:r>
        <w:rPr>
          <w:rFonts w:ascii="Arial" w:cs="Arial" w:eastAsia="Arial" w:hAnsi="Arial"/>
          <w:color w:val="1E293B"/>
          <w:sz w:val="22"/>
          <w:szCs w:val="22"/>
        </w:rPr>
        <w:t xml:space="preserve">20-month tenure loans are least popular (55 loans) — potentially due to higher EMI burden at shorter durations</w:t>
      </w:r>
    </w:p>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10. Business Recommendations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w:t>
            </w:r>
          </w:p>
        </w:tc>
        <w:tc>
          <w:tcPr>
            <w:tcW w:type="dxa" w:w="53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Rationale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Deploy predictive default scoring on Grade D borrowers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117 Grade D profiles represent 46.8% of the portfolio — proactive scoring can reduce default exposure before it materialises</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Expand lending into Karnataka and Bihar</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Karnataka (41) and Bihar (47) have the lowest customer counts — targeted campaigns in these states can reduce geographical concentration risk</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Introduce micro-loan products for the Low-income segment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Only ₹42M (18.8%) lent to low-income borrowers — a significantly underserved segment with high growth potential</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Implement credit bureau alerts for high-inquiry customers</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Customers with 4–5 inquiries in 6 months (89 profiles) are credit-hungry — early warning triggers can prevent overleveraging</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Develop tailored loan products for self-employed borrowers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35.2% of customers are self-employed but may have irregular income — income-smoothing EMI products can reduce default risk for this group</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Use dynamic interest rate bands by risk grade</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Flat interest rate range of 16–18% does not adequately price for the wide range of credit grades (A to D) — risk-based pricing improves margin and fairness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Target retention campaigns in 2023-vintage loans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2023 had the lowest disbursement year — retaining these borrowers through renewal offers can recapture revenue</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Automate Power BI dashboards via live MySQL connection</w:t>
            </w:r>
          </w:p>
        </w:tc>
        <w:tc>
          <w:tcPr>
            <w:tcW w:type="dxa" w:w="5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Replacing manual refresh with scheduled DirectQuery or dataflow automation reduces reporting lag and enables real-time risk monitoring</w:t>
            </w:r>
          </w:p>
        </w:tc>
      </w:tr>
    </w:tbl>
    <w:p>
      <w:r>
        <w:br w:type="page"/>
      </w:r>
    </w:p>
    <w:p>
      <w:pPr>
        <w:pStyle w:val="Heading1"/>
        <w:pBdr>
          <w:bottom w:val="single" w:color="00B4D8" w:sz="8" w:space="4"/>
        </w:pBdr>
        <w:spacing w:after="120" w:before="360"/>
      </w:pPr>
      <w:r>
        <w:rPr>
          <w:rFonts w:ascii="Arial" w:cs="Arial" w:eastAsia="Arial" w:hAnsi="Arial"/>
          <w:b/>
          <w:bCs/>
          <w:color w:val="0D1B2A"/>
          <w:sz w:val="32"/>
          <w:szCs w:val="32"/>
        </w:rPr>
        <w:t xml:space="preserve">11. Project Deliverables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Format</w:t>
            </w:r>
          </w:p>
        </w:tc>
        <w:tc>
          <w:tcPr>
            <w:tcW w:type="dxa" w:w="3360"/>
            <w:tcBorders>
              <w:top w:val="single" w:color="0D1B2A" w:sz="4"/>
              <w:left w:val="single" w:color="0D1B2A" w:sz="4"/>
              <w:bottom w:val="single" w:color="0D1B2A" w:sz="4"/>
              <w:right w:val="single" w:color="0D1B2A" w:sz="4"/>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Raw Data Files (AI-generated)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CSV (.csv)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Cleaned &amp; Transformed Data</w:t>
            </w:r>
          </w:p>
        </w:tc>
        <w:tc>
          <w:tcPr>
            <w:tcW w:type="dxa" w:w="2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Excel (.xlsx)</w:t>
            </w:r>
          </w:p>
        </w:tc>
        <w:tc>
          <w:tcPr>
            <w:tcW w:type="dxa" w:w="3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ETL Pipeline Configuration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Pentaho Spoon (.ktr/.kjb)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MySQL Database with 3 Tables</w:t>
            </w:r>
          </w:p>
        </w:tc>
        <w:tc>
          <w:tcPr>
            <w:tcW w:type="dxa" w:w="2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SQL Database (BANKLOAN)</w:t>
            </w:r>
          </w:p>
        </w:tc>
        <w:tc>
          <w:tcPr>
            <w:tcW w:type="dxa" w:w="3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SQL Query Bank (40 Queries)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SQL file (.sql)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Python EDA Notebook</w:t>
            </w:r>
          </w:p>
        </w:tc>
        <w:tc>
          <w:tcPr>
            <w:tcW w:type="dxa" w:w="2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Jupyter (.ipynb)</w:t>
            </w:r>
          </w:p>
        </w:tc>
        <w:tc>
          <w:tcPr>
            <w:tcW w:type="dxa" w:w="3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Power BI Dashboard (4 Pages)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Power BI (.pbix)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Executive Presentation</w:t>
            </w:r>
          </w:p>
        </w:tc>
        <w:tc>
          <w:tcPr>
            <w:tcW w:type="dxa" w:w="200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PowerPoint (.pptx)</w:t>
            </w:r>
          </w:p>
        </w:tc>
        <w:tc>
          <w:tcPr>
            <w:tcW w:type="dxa" w:w="3360"/>
            <w:tcBorders>
              <w:top w:val="single" w:color="CCCCCC" w:sz="4"/>
              <w:left w:val="single" w:color="CCCCCC" w:sz="4"/>
              <w:bottom w:val="single" w:color="CCCCCC" w:sz="4"/>
              <w:right w:val="single" w:color="CCCCCC" w:sz="4"/>
            </w:tcBorders>
            <w:shd w:fill="F0F4F8"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E293B"/>
                <w:sz w:val="20"/>
                <w:szCs w:val="20"/>
              </w:rPr>
              <w:t xml:space="preserve">Business Requirements Document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E293B"/>
                <w:sz w:val="20"/>
                <w:szCs w:val="20"/>
              </w:rPr>
              <w:t xml:space="preserve">Word (.docx)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r>
    </w:tbl>
    <w:p>
      <w:pPr>
        <w:spacing w:after="200" w:before="0"/>
      </w:pPr>
      <w:r>
        <w:t xml:space="preserve"/>
      </w:r>
    </w:p>
    <w:p>
      <w:pPr>
        <w:pBdr>
          <w:top w:val="single" w:color="00B4D8" w:sz="6" w:space="4"/>
        </w:pBdr>
        <w:spacing w:after="0" w:before="400"/>
        <w:jc w:val="center"/>
      </w:pPr>
      <w:r>
        <w:rPr>
          <w:rFonts w:ascii="Arial" w:cs="Arial" w:eastAsia="Arial" w:hAnsi="Arial"/>
          <w:i/>
          <w:iCs/>
          <w:color w:val="64748B"/>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6" w:space="4"/>
      </w:pBdr>
      <w:tabs>
        <w:tab w:val="right" w:pos="9026"/>
      </w:tabs>
      <w:spacing w:before="100"/>
    </w:pPr>
    <w:r>
      <w:rPr>
        <w:rFonts w:ascii="Arial" w:cs="Arial" w:eastAsia="Arial" w:hAnsi="Arial"/>
        <w:color w:val="64748B"/>
        <w:sz w:val="18"/>
        <w:szCs w:val="18"/>
      </w:rPr>
      <w:t xml:space="preserve">Bank Loan Portfolio Analytics Project</w:t>
    </w:r>
    <w:r>
      <w:rPr>
        <w:rFonts w:ascii="Arial" w:cs="Arial" w:eastAsia="Arial" w:hAnsi="Arial"/>
        <w:color w:val="64748B"/>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4"/>
      </w:pBdr>
      <w:tabs>
        <w:tab w:val="right" w:pos="9026"/>
      </w:tabs>
      <w:spacing w:after="100"/>
    </w:pPr>
    <w:r>
      <w:rPr>
        <w:rFonts w:ascii="Arial" w:cs="Arial" w:eastAsia="Arial" w:hAnsi="Arial"/>
        <w:b/>
        <w:bCs/>
        <w:color w:val="0D1B2A"/>
        <w:sz w:val="18"/>
        <w:szCs w:val="18"/>
      </w:rPr>
      <w:t xml:space="preserve">Bank Loan Portfolio Analytics — BRD</w:t>
    </w:r>
    <w:r>
      <w:rPr>
        <w:rFonts w:ascii="Arial" w:cs="Arial" w:eastAsia="Arial" w:hAnsi="Arial"/>
        <w:color w:val="64748B"/>
        <w:sz w:val="18"/>
        <w:szCs w:val="18"/>
      </w:rPr>
      <w:t xml:space="preserve">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1B2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2E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2026-04-13T07:41:20.126Z</dcterms:created>
  <dcterms:modified xsi:type="dcterms:W3CDTF">2026-04-13T07:41:20.126Z</dcterms:modified>
</cp:coreProperties>
</file>

<file path=docProps/custom.xml><?xml version="1.0" encoding="utf-8"?>
<Properties xmlns="http://schemas.openxmlformats.org/officeDocument/2006/custom-properties" xmlns:vt="http://schemas.openxmlformats.org/officeDocument/2006/docPropsVTypes"/>
</file>