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analysis examines over 2,000 sales transactions to evaluate business health across 500 customers and 20 store locations. It bridges transactional data with demographic and product-specific details to provide a unified business view.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Tools Used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analysis was conducted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 Quary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data cleaning and aggregation, along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trend visualization. Statistical tools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Pivot Tables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Descriptive Statistics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were also referenced.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Objectives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primary goal is to identify high-performing product categories and regional sales trends to optimize inventory and marketing strategies. It also aims to understand customer loyalty distribution and demographic preferences.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Key Insights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Market Leader: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Sports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category is the primary revenue driver, contributing the highest total sales across all departments.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Regional Stronghold: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South region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outpaces others in total transaction value, indicating a strong geographical market presence.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Key Performance Indicator (KPI)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total revenue generated across the dataset stands at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$1,027,969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an average customer age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42 years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 Conclusion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business shows a strong and diversified revenue stream led by sports and home categories, with a mature customer base. Future growth can be achieved by targeting younger demographics and expanding the successful South region strategies to underperforming areas.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96050" cy="57498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5749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>
        <w:rFonts w:ascii="Impact" w:cs="Impact" w:eastAsia="Impact" w:hAnsi="Impact"/>
        <w:b w:val="1"/>
        <w:bCs w:val="1"/>
        <w:sz w:val="42"/>
        <w:szCs w:val="42"/>
      </w:rPr>
    </w:pPr>
    <w:r w:rsidDel="00000000" w:rsidR="00000000" w:rsidRPr="00000000">
      <w:rPr>
        <w:rFonts w:ascii="Impact" w:cs="Impact" w:eastAsia="Impact" w:hAnsi="Impact"/>
        <w:b w:val="1"/>
        <w:bCs w:val="1"/>
        <w:sz w:val="42"/>
        <w:szCs w:val="42"/>
        <w:rtl w:val="0"/>
      </w:rPr>
      <w:t xml:space="preserve">                          E-COMMERCE SALES DATA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