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Gradient Boosting </w:t>
      </w:r>
      <w:r w:rsidDel="00000000" w:rsidR="00000000" w:rsidRPr="00000000">
        <w:rPr>
          <w:b w:val="1"/>
          <w:bCs w:val="1"/>
          <w:rtl w:val="0"/>
        </w:rPr>
        <w:t xml:space="preserve">VS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KNN Performance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Output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4600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