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0A2" w:rsidRPr="006160A2" w:rsidRDefault="009C6D65" w:rsidP="006E7998">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9C6D65">
        <w:rPr>
          <w:rFonts w:ascii="Times New Roman" w:eastAsia="Times New Roman" w:hAnsi="Times New Roman" w:cs="Times New Roman"/>
          <w:b/>
          <w:bCs/>
          <w:noProof/>
          <w:kern w:val="36"/>
          <w:sz w:val="24"/>
          <w:szCs w:val="24"/>
          <w:lang w:val="en-IN" w:eastAsia="en-IN"/>
        </w:rPr>
        <w:drawing>
          <wp:anchor distT="0" distB="0" distL="0" distR="0" simplePos="0" relativeHeight="251661312" behindDoc="1" locked="0" layoutInCell="1" allowOverlap="1">
            <wp:simplePos x="0" y="0"/>
            <wp:positionH relativeFrom="page">
              <wp:posOffset>-518160</wp:posOffset>
            </wp:positionH>
            <wp:positionV relativeFrom="page">
              <wp:posOffset>-1173480</wp:posOffset>
            </wp:positionV>
            <wp:extent cx="10222230" cy="14455140"/>
            <wp:effectExtent l="0" t="0" r="381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r w:rsidRPr="009C6D65">
        <w:rPr>
          <w:rFonts w:ascii="Times New Roman" w:eastAsia="Times New Roman" w:hAnsi="Times New Roman" w:cs="Times New Roman"/>
          <w:b/>
          <w:bCs/>
          <w:noProof/>
          <w:kern w:val="36"/>
          <w:sz w:val="24"/>
          <w:szCs w:val="24"/>
          <w:lang w:val="en-IN" w:eastAsia="en-IN"/>
        </w:rPr>
        <w:drawing>
          <wp:anchor distT="0" distB="0" distL="0" distR="0" simplePos="0" relativeHeight="251659264" behindDoc="1" locked="0" layoutInCell="1" allowOverlap="1">
            <wp:simplePos x="0" y="0"/>
            <wp:positionH relativeFrom="page">
              <wp:posOffset>-670560</wp:posOffset>
            </wp:positionH>
            <wp:positionV relativeFrom="page">
              <wp:posOffset>-1325880</wp:posOffset>
            </wp:positionV>
            <wp:extent cx="10222230" cy="14455140"/>
            <wp:effectExtent l="0" t="0" r="3810" b="0"/>
            <wp:wrapNone/>
            <wp:docPr id="1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r w:rsidR="006160A2" w:rsidRPr="006E7998">
        <w:rPr>
          <w:rFonts w:ascii="Times New Roman" w:eastAsia="Times New Roman" w:hAnsi="Times New Roman" w:cs="Times New Roman"/>
          <w:b/>
          <w:bCs/>
          <w:kern w:val="36"/>
          <w:sz w:val="24"/>
          <w:szCs w:val="24"/>
        </w:rPr>
        <w:t>Europe Dental Devices Market</w:t>
      </w:r>
    </w:p>
    <w:p w:rsidR="006160A2" w:rsidRDefault="00D7635F" w:rsidP="006E79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sidR="003D52CB" w:rsidRPr="006E7998">
        <w:rPr>
          <w:rFonts w:ascii="Times New Roman" w:eastAsia="Times New Roman" w:hAnsi="Times New Roman" w:cs="Times New Roman"/>
          <w:sz w:val="24"/>
          <w:szCs w:val="24"/>
        </w:rPr>
        <w:t xml:space="preserve">, </w:t>
      </w:r>
      <w:r w:rsidR="006160A2" w:rsidRPr="006160A2">
        <w:rPr>
          <w:rFonts w:ascii="Times New Roman" w:eastAsia="Times New Roman" w:hAnsi="Times New Roman" w:cs="Times New Roman"/>
          <w:sz w:val="24"/>
          <w:szCs w:val="24"/>
        </w:rPr>
        <w:t xml:space="preserve">Europe Dental Devices Market was valued at approximately </w:t>
      </w:r>
      <w:r w:rsidR="006160A2" w:rsidRPr="00BB7E28">
        <w:rPr>
          <w:rFonts w:ascii="Times New Roman" w:eastAsia="Times New Roman" w:hAnsi="Times New Roman" w:cs="Times New Roman"/>
          <w:bCs/>
          <w:sz w:val="24"/>
          <w:szCs w:val="24"/>
        </w:rPr>
        <w:t xml:space="preserve">USD </w:t>
      </w:r>
      <w:r>
        <w:t xml:space="preserve">8,733 </w:t>
      </w:r>
      <w:r w:rsidR="006160A2" w:rsidRPr="00BB7E28">
        <w:rPr>
          <w:rFonts w:ascii="Times New Roman" w:eastAsia="Times New Roman" w:hAnsi="Times New Roman" w:cs="Times New Roman"/>
          <w:bCs/>
          <w:sz w:val="24"/>
          <w:szCs w:val="24"/>
        </w:rPr>
        <w:t>million in 2024</w:t>
      </w:r>
      <w:r w:rsidR="006160A2" w:rsidRPr="006160A2">
        <w:rPr>
          <w:rFonts w:ascii="Times New Roman" w:eastAsia="Times New Roman" w:hAnsi="Times New Roman" w:cs="Times New Roman"/>
          <w:sz w:val="24"/>
          <w:szCs w:val="24"/>
        </w:rPr>
        <w:t xml:space="preserve"> and is projected to</w:t>
      </w:r>
      <w:r w:rsidR="003D52CB" w:rsidRPr="00BB7E28">
        <w:rPr>
          <w:rFonts w:ascii="Times New Roman" w:eastAsia="Times New Roman" w:hAnsi="Times New Roman" w:cs="Times New Roman"/>
          <w:sz w:val="24"/>
          <w:szCs w:val="24"/>
        </w:rPr>
        <w:t xml:space="preserve"> reach USD </w:t>
      </w:r>
      <w:r w:rsidR="007A34F5">
        <w:rPr>
          <w:rFonts w:ascii="Times New Roman" w:eastAsia="Times New Roman" w:hAnsi="Times New Roman" w:cs="Times New Roman"/>
          <w:color w:val="000000"/>
          <w:sz w:val="24"/>
          <w:szCs w:val="24"/>
        </w:rPr>
        <w:t>15842.56</w:t>
      </w:r>
      <w:r w:rsidR="003D52CB" w:rsidRPr="00BB7E28">
        <w:rPr>
          <w:rFonts w:ascii="Times New Roman" w:eastAsia="Times New Roman" w:hAnsi="Times New Roman" w:cs="Times New Roman"/>
          <w:color w:val="000000"/>
          <w:sz w:val="24"/>
          <w:szCs w:val="24"/>
        </w:rPr>
        <w:t xml:space="preserve"> million, </w:t>
      </w:r>
      <w:r w:rsidR="006160A2" w:rsidRPr="006160A2">
        <w:rPr>
          <w:rFonts w:ascii="Times New Roman" w:eastAsia="Times New Roman" w:hAnsi="Times New Roman" w:cs="Times New Roman"/>
          <w:sz w:val="24"/>
          <w:szCs w:val="24"/>
        </w:rPr>
        <w:t>grow</w:t>
      </w:r>
      <w:r w:rsidR="003D52CB" w:rsidRPr="00BB7E28">
        <w:rPr>
          <w:rFonts w:ascii="Times New Roman" w:eastAsia="Times New Roman" w:hAnsi="Times New Roman" w:cs="Times New Roman"/>
          <w:sz w:val="24"/>
          <w:szCs w:val="24"/>
        </w:rPr>
        <w:t>ing</w:t>
      </w:r>
      <w:r w:rsidR="006160A2" w:rsidRPr="006160A2">
        <w:rPr>
          <w:rFonts w:ascii="Times New Roman" w:eastAsia="Times New Roman" w:hAnsi="Times New Roman" w:cs="Times New Roman"/>
          <w:sz w:val="24"/>
          <w:szCs w:val="24"/>
        </w:rPr>
        <w:t xml:space="preserve"> at a </w:t>
      </w:r>
      <w:r w:rsidR="006160A2" w:rsidRPr="00BB7E28">
        <w:rPr>
          <w:rFonts w:ascii="Times New Roman" w:eastAsia="Times New Roman" w:hAnsi="Times New Roman" w:cs="Times New Roman"/>
          <w:bCs/>
          <w:sz w:val="24"/>
          <w:szCs w:val="24"/>
        </w:rPr>
        <w:t>compound a</w:t>
      </w:r>
      <w:r>
        <w:rPr>
          <w:rFonts w:ascii="Times New Roman" w:eastAsia="Times New Roman" w:hAnsi="Times New Roman" w:cs="Times New Roman"/>
          <w:bCs/>
          <w:sz w:val="24"/>
          <w:szCs w:val="24"/>
        </w:rPr>
        <w:t>nnual growth rate (CAGR) of 8.63</w:t>
      </w:r>
      <w:r w:rsidR="006160A2" w:rsidRPr="00BB7E28">
        <w:rPr>
          <w:rFonts w:ascii="Times New Roman" w:eastAsia="Times New Roman" w:hAnsi="Times New Roman" w:cs="Times New Roman"/>
          <w:bCs/>
          <w:sz w:val="24"/>
          <w:szCs w:val="24"/>
        </w:rPr>
        <w:t>%</w:t>
      </w:r>
      <w:r w:rsidR="006160A2" w:rsidRPr="006160A2">
        <w:rPr>
          <w:rFonts w:ascii="Times New Roman" w:eastAsia="Times New Roman" w:hAnsi="Times New Roman" w:cs="Times New Roman"/>
          <w:sz w:val="24"/>
          <w:szCs w:val="24"/>
        </w:rPr>
        <w:t xml:space="preserve"> over the forecast period from 2025 to 2032. </w:t>
      </w:r>
    </w:p>
    <w:p w:rsidR="00CE3D9A" w:rsidRPr="006160A2" w:rsidRDefault="00CE3D9A" w:rsidP="006E7998">
      <w:pPr>
        <w:spacing w:line="360" w:lineRule="auto"/>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lang w:val="en-IN" w:eastAsia="en-IN"/>
        </w:rPr>
        <w:drawing>
          <wp:inline distT="0" distB="0" distL="0" distR="0">
            <wp:extent cx="5943600" cy="2947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urope Dent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bookmarkEnd w:id="0"/>
    </w:p>
    <w:p w:rsidR="006160A2" w:rsidRPr="006160A2" w:rsidRDefault="006160A2"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BB7E28">
        <w:rPr>
          <w:rFonts w:ascii="Times New Roman" w:eastAsia="Times New Roman" w:hAnsi="Times New Roman" w:cs="Times New Roman"/>
          <w:b/>
          <w:bCs/>
          <w:sz w:val="24"/>
          <w:szCs w:val="24"/>
        </w:rPr>
        <w:t>Market Definition</w:t>
      </w:r>
    </w:p>
    <w:p w:rsidR="006160A2" w:rsidRPr="006E7998"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E7998">
        <w:rPr>
          <w:rFonts w:ascii="Times New Roman" w:eastAsia="Times New Roman" w:hAnsi="Times New Roman" w:cs="Times New Roman"/>
          <w:sz w:val="24"/>
          <w:szCs w:val="24"/>
        </w:rPr>
        <w:t>Europe is one of the most developed areas in dentistry, having high levels of awareness, well-supported governments, and a highly advanced healthcare technology infrastructure.</w:t>
      </w:r>
    </w:p>
    <w:p w:rsidR="006160A2" w:rsidRPr="006E7998"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E7998">
        <w:rPr>
          <w:rFonts w:ascii="Times New Roman" w:eastAsia="Times New Roman" w:hAnsi="Times New Roman" w:cs="Times New Roman"/>
          <w:sz w:val="24"/>
          <w:szCs w:val="24"/>
        </w:rPr>
        <w:t>Dental equipment consists of a wide array of instruments, tools, and technologies that are applied in diagnosing, preventing, and treating oral disease. The equipment ranges from simple diagnostic instruments like probes and dental mirrors to sophisticated technology like digital radiography units, CAD/CAM systems, and laser devices. Dental equipment is crucial in general dental care as well as specialized dental care, such as orthodontics, endodontics, periodontics, and prosthodontics.</w:t>
      </w:r>
    </w:p>
    <w:p w:rsidR="006160A2" w:rsidRPr="006160A2"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E7998">
        <w:rPr>
          <w:rFonts w:ascii="Times New Roman" w:eastAsia="Times New Roman" w:hAnsi="Times New Roman" w:cs="Times New Roman"/>
          <w:sz w:val="24"/>
          <w:szCs w:val="24"/>
        </w:rPr>
        <w:t xml:space="preserve">Technological advances in the field of dentistry have resulted in the creation of more accurate, efficient, and patient-comfortable devices that have aided in improving both clinical success and </w:t>
      </w:r>
      <w:r w:rsidRPr="006E7998">
        <w:rPr>
          <w:rFonts w:ascii="Times New Roman" w:eastAsia="Times New Roman" w:hAnsi="Times New Roman" w:cs="Times New Roman"/>
          <w:sz w:val="24"/>
          <w:szCs w:val="24"/>
        </w:rPr>
        <w:lastRenderedPageBreak/>
        <w:t>the patient experience. Products like intraoral scanners, digital impression systems, and minimally invasive surgical instruments are revolutionizing European dental practice today.</w:t>
      </w:r>
    </w:p>
    <w:p w:rsidR="006160A2" w:rsidRPr="006160A2" w:rsidRDefault="006160A2"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6E7998">
        <w:rPr>
          <w:rFonts w:ascii="Times New Roman" w:eastAsia="Times New Roman" w:hAnsi="Times New Roman" w:cs="Times New Roman"/>
          <w:b/>
          <w:bCs/>
          <w:sz w:val="24"/>
          <w:szCs w:val="24"/>
        </w:rPr>
        <w:t>Market Overview</w:t>
      </w:r>
    </w:p>
    <w:p w:rsidR="006160A2" w:rsidRPr="006160A2"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The European dental devices market is witnessing steady growth, driven by various factors, including:</w:t>
      </w:r>
    </w:p>
    <w:p w:rsidR="006160A2" w:rsidRPr="006160A2" w:rsidRDefault="006160A2" w:rsidP="006E7998">
      <w:pPr>
        <w:numPr>
          <w:ilvl w:val="0"/>
          <w:numId w:val="10"/>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Rising prevalence of oral health issues:</w:t>
      </w:r>
      <w:r w:rsidRPr="006160A2">
        <w:rPr>
          <w:rFonts w:ascii="Times New Roman" w:eastAsia="Times New Roman" w:hAnsi="Times New Roman" w:cs="Times New Roman"/>
          <w:sz w:val="24"/>
          <w:szCs w:val="24"/>
        </w:rPr>
        <w:t xml:space="preserve"> Dental caries, gum diseases, and tooth loss remain common, especially among older adults, fueling demand for effective dental treatment and equipment.</w:t>
      </w:r>
    </w:p>
    <w:p w:rsidR="006160A2" w:rsidRPr="006160A2" w:rsidRDefault="006160A2" w:rsidP="006E7998">
      <w:pPr>
        <w:numPr>
          <w:ilvl w:val="0"/>
          <w:numId w:val="10"/>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Increased focus on preventive and cosmetic dentistry:</w:t>
      </w:r>
      <w:r w:rsidRPr="006160A2">
        <w:rPr>
          <w:rFonts w:ascii="Times New Roman" w:eastAsia="Times New Roman" w:hAnsi="Times New Roman" w:cs="Times New Roman"/>
          <w:sz w:val="24"/>
          <w:szCs w:val="24"/>
        </w:rPr>
        <w:t xml:space="preserve"> There is a growing emphasis on oral hygiene and aesthetics, with more people seeking whitening, alignment correction, and restorative procedures.</w:t>
      </w:r>
    </w:p>
    <w:p w:rsidR="006160A2" w:rsidRPr="006160A2" w:rsidRDefault="006160A2" w:rsidP="006E7998">
      <w:pPr>
        <w:numPr>
          <w:ilvl w:val="0"/>
          <w:numId w:val="10"/>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Technological innovations:</w:t>
      </w:r>
      <w:r w:rsidRPr="006160A2">
        <w:rPr>
          <w:rFonts w:ascii="Times New Roman" w:eastAsia="Times New Roman" w:hAnsi="Times New Roman" w:cs="Times New Roman"/>
          <w:sz w:val="24"/>
          <w:szCs w:val="24"/>
        </w:rPr>
        <w:t xml:space="preserve"> Digital dentistry, AI integration, 3D printing, and imaging advancements are revolutionizing dental workflows, enabling more precise diagnosis and treatment planning.</w:t>
      </w:r>
    </w:p>
    <w:p w:rsidR="006160A2" w:rsidRPr="006160A2" w:rsidRDefault="006160A2" w:rsidP="006E7998">
      <w:pPr>
        <w:numPr>
          <w:ilvl w:val="0"/>
          <w:numId w:val="10"/>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Favorable reimbursement and policy environment:</w:t>
      </w:r>
      <w:r w:rsidRPr="006160A2">
        <w:rPr>
          <w:rFonts w:ascii="Times New Roman" w:eastAsia="Times New Roman" w:hAnsi="Times New Roman" w:cs="Times New Roman"/>
          <w:sz w:val="24"/>
          <w:szCs w:val="24"/>
        </w:rPr>
        <w:t xml:space="preserve"> Many European countries offer insurance coverage and subsidies for essential dental treatments, boosting the uptake of professional care and equipment.</w:t>
      </w:r>
    </w:p>
    <w:p w:rsidR="006160A2" w:rsidRPr="006160A2" w:rsidRDefault="006160A2" w:rsidP="006E7998">
      <w:pPr>
        <w:numPr>
          <w:ilvl w:val="0"/>
          <w:numId w:val="10"/>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Growing dental tourism:</w:t>
      </w:r>
      <w:r w:rsidRPr="006160A2">
        <w:rPr>
          <w:rFonts w:ascii="Times New Roman" w:eastAsia="Times New Roman" w:hAnsi="Times New Roman" w:cs="Times New Roman"/>
          <w:sz w:val="24"/>
          <w:szCs w:val="24"/>
        </w:rPr>
        <w:t xml:space="preserve"> Countries like Hungary and Poland have become attractive destinations for cost-effective dental procedures, further propelling market demand for dental technologies.</w:t>
      </w:r>
    </w:p>
    <w:p w:rsidR="006160A2" w:rsidRPr="006160A2" w:rsidRDefault="006160A2"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6E7998">
        <w:rPr>
          <w:rFonts w:ascii="Times New Roman" w:eastAsia="Times New Roman" w:hAnsi="Times New Roman" w:cs="Times New Roman"/>
          <w:b/>
          <w:bCs/>
          <w:sz w:val="24"/>
          <w:szCs w:val="24"/>
        </w:rPr>
        <w:t>Market Segmentation Analysis</w:t>
      </w:r>
    </w:p>
    <w:p w:rsidR="006160A2" w:rsidRPr="006160A2"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 xml:space="preserve">The Europe Dental Devices Market can be segmented based on </w:t>
      </w:r>
      <w:r w:rsidRPr="006E7998">
        <w:rPr>
          <w:rFonts w:ascii="Times New Roman" w:eastAsia="Times New Roman" w:hAnsi="Times New Roman" w:cs="Times New Roman"/>
          <w:b/>
          <w:bCs/>
          <w:sz w:val="24"/>
          <w:szCs w:val="24"/>
        </w:rPr>
        <w:t>Product Type</w:t>
      </w:r>
      <w:r w:rsidRPr="006160A2">
        <w:rPr>
          <w:rFonts w:ascii="Times New Roman" w:eastAsia="Times New Roman" w:hAnsi="Times New Roman" w:cs="Times New Roman"/>
          <w:sz w:val="24"/>
          <w:szCs w:val="24"/>
        </w:rPr>
        <w:t xml:space="preserve">, </w:t>
      </w:r>
      <w:r w:rsidRPr="006E7998">
        <w:rPr>
          <w:rFonts w:ascii="Times New Roman" w:eastAsia="Times New Roman" w:hAnsi="Times New Roman" w:cs="Times New Roman"/>
          <w:b/>
          <w:bCs/>
          <w:sz w:val="24"/>
          <w:szCs w:val="24"/>
        </w:rPr>
        <w:t>Treatment</w:t>
      </w:r>
      <w:r w:rsidRPr="006160A2">
        <w:rPr>
          <w:rFonts w:ascii="Times New Roman" w:eastAsia="Times New Roman" w:hAnsi="Times New Roman" w:cs="Times New Roman"/>
          <w:sz w:val="24"/>
          <w:szCs w:val="24"/>
        </w:rPr>
        <w:t xml:space="preserve">, </w:t>
      </w:r>
      <w:r w:rsidRPr="006E7998">
        <w:rPr>
          <w:rFonts w:ascii="Times New Roman" w:eastAsia="Times New Roman" w:hAnsi="Times New Roman" w:cs="Times New Roman"/>
          <w:b/>
          <w:bCs/>
          <w:sz w:val="24"/>
          <w:szCs w:val="24"/>
        </w:rPr>
        <w:t>End-user</w:t>
      </w:r>
      <w:r w:rsidRPr="006160A2">
        <w:rPr>
          <w:rFonts w:ascii="Times New Roman" w:eastAsia="Times New Roman" w:hAnsi="Times New Roman" w:cs="Times New Roman"/>
          <w:sz w:val="24"/>
          <w:szCs w:val="24"/>
        </w:rPr>
        <w:t xml:space="preserve">, and </w:t>
      </w:r>
      <w:r w:rsidRPr="006E7998">
        <w:rPr>
          <w:rFonts w:ascii="Times New Roman" w:eastAsia="Times New Roman" w:hAnsi="Times New Roman" w:cs="Times New Roman"/>
          <w:b/>
          <w:bCs/>
          <w:sz w:val="24"/>
          <w:szCs w:val="24"/>
        </w:rPr>
        <w:t>Geography</w:t>
      </w:r>
      <w:r w:rsidRPr="006160A2">
        <w:rPr>
          <w:rFonts w:ascii="Times New Roman" w:eastAsia="Times New Roman" w:hAnsi="Times New Roman" w:cs="Times New Roman"/>
          <w:sz w:val="24"/>
          <w:szCs w:val="24"/>
        </w:rPr>
        <w:t>.</w:t>
      </w:r>
    </w:p>
    <w:p w:rsidR="006160A2" w:rsidRPr="006160A2" w:rsidRDefault="006160A2" w:rsidP="006E799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6E7998">
        <w:rPr>
          <w:rFonts w:ascii="Times New Roman" w:eastAsia="Times New Roman" w:hAnsi="Times New Roman" w:cs="Times New Roman"/>
          <w:b/>
          <w:bCs/>
          <w:kern w:val="36"/>
          <w:sz w:val="24"/>
          <w:szCs w:val="24"/>
        </w:rPr>
        <w:t>Europe Dental Devices Market</w:t>
      </w:r>
      <w:r w:rsidRPr="006E7998">
        <w:rPr>
          <w:rFonts w:ascii="Times New Roman" w:eastAsia="Times New Roman" w:hAnsi="Times New Roman" w:cs="Times New Roman"/>
          <w:b/>
          <w:bCs/>
          <w:sz w:val="24"/>
          <w:szCs w:val="24"/>
        </w:rPr>
        <w:t xml:space="preserve"> </w:t>
      </w:r>
      <w:proofErr w:type="gramStart"/>
      <w:r w:rsidRPr="006E7998">
        <w:rPr>
          <w:rFonts w:ascii="Times New Roman" w:eastAsia="Times New Roman" w:hAnsi="Times New Roman" w:cs="Times New Roman"/>
          <w:b/>
          <w:bCs/>
          <w:sz w:val="24"/>
          <w:szCs w:val="24"/>
        </w:rPr>
        <w:t>By</w:t>
      </w:r>
      <w:proofErr w:type="gramEnd"/>
      <w:r w:rsidRPr="006E7998">
        <w:rPr>
          <w:rFonts w:ascii="Times New Roman" w:eastAsia="Times New Roman" w:hAnsi="Times New Roman" w:cs="Times New Roman"/>
          <w:b/>
          <w:bCs/>
          <w:sz w:val="24"/>
          <w:szCs w:val="24"/>
        </w:rPr>
        <w:t xml:space="preserve"> Product Type:</w:t>
      </w:r>
    </w:p>
    <w:p w:rsidR="006160A2" w:rsidRPr="006160A2" w:rsidRDefault="006160A2" w:rsidP="006E7998">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General and Diagnostic Equipment:</w:t>
      </w:r>
      <w:r w:rsidRPr="006160A2">
        <w:rPr>
          <w:rFonts w:ascii="Times New Roman" w:eastAsia="Times New Roman" w:hAnsi="Times New Roman" w:cs="Times New Roman"/>
          <w:sz w:val="24"/>
          <w:szCs w:val="24"/>
        </w:rPr>
        <w:t xml:space="preserve"> Includes dental chairs, X-ray units, imaging systems (intraoral and </w:t>
      </w:r>
      <w:proofErr w:type="spellStart"/>
      <w:r w:rsidRPr="006160A2">
        <w:rPr>
          <w:rFonts w:ascii="Times New Roman" w:eastAsia="Times New Roman" w:hAnsi="Times New Roman" w:cs="Times New Roman"/>
          <w:sz w:val="24"/>
          <w:szCs w:val="24"/>
        </w:rPr>
        <w:t>extraoral</w:t>
      </w:r>
      <w:proofErr w:type="spellEnd"/>
      <w:r w:rsidRPr="006160A2">
        <w:rPr>
          <w:rFonts w:ascii="Times New Roman" w:eastAsia="Times New Roman" w:hAnsi="Times New Roman" w:cs="Times New Roman"/>
          <w:sz w:val="24"/>
          <w:szCs w:val="24"/>
        </w:rPr>
        <w:t>), and laser systems.</w:t>
      </w:r>
    </w:p>
    <w:p w:rsidR="006160A2" w:rsidRPr="006160A2" w:rsidRDefault="006160A2" w:rsidP="006E7998">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lastRenderedPageBreak/>
        <w:t>Dental Consumables:</w:t>
      </w:r>
      <w:r w:rsidRPr="006160A2">
        <w:rPr>
          <w:rFonts w:ascii="Times New Roman" w:eastAsia="Times New Roman" w:hAnsi="Times New Roman" w:cs="Times New Roman"/>
          <w:sz w:val="24"/>
          <w:szCs w:val="24"/>
        </w:rPr>
        <w:t xml:space="preserve"> Comprises materials such as implants, crowns, bridges, composites, and bonding agents.</w:t>
      </w:r>
    </w:p>
    <w:p w:rsidR="006160A2" w:rsidRPr="006160A2" w:rsidRDefault="006160A2" w:rsidP="006E7998">
      <w:pPr>
        <w:numPr>
          <w:ilvl w:val="0"/>
          <w:numId w:val="11"/>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Other Dental Devices:</w:t>
      </w:r>
      <w:r w:rsidRPr="006160A2">
        <w:rPr>
          <w:rFonts w:ascii="Times New Roman" w:eastAsia="Times New Roman" w:hAnsi="Times New Roman" w:cs="Times New Roman"/>
          <w:sz w:val="24"/>
          <w:szCs w:val="24"/>
        </w:rPr>
        <w:t xml:space="preserve"> Encompasses orthodontic appliances, surgical instruments, and endodontic tools.</w:t>
      </w:r>
    </w:p>
    <w:p w:rsidR="006160A2" w:rsidRPr="006160A2"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 xml:space="preserve">Among these, </w:t>
      </w:r>
      <w:r w:rsidRPr="006E7998">
        <w:rPr>
          <w:rFonts w:ascii="Times New Roman" w:eastAsia="Times New Roman" w:hAnsi="Times New Roman" w:cs="Times New Roman"/>
          <w:b/>
          <w:bCs/>
          <w:sz w:val="24"/>
          <w:szCs w:val="24"/>
        </w:rPr>
        <w:t>dental consumables</w:t>
      </w:r>
      <w:r w:rsidRPr="006160A2">
        <w:rPr>
          <w:rFonts w:ascii="Times New Roman" w:eastAsia="Times New Roman" w:hAnsi="Times New Roman" w:cs="Times New Roman"/>
          <w:sz w:val="24"/>
          <w:szCs w:val="24"/>
        </w:rPr>
        <w:t xml:space="preserve"> hold a significant share due to their repetitive use, especially in restorative and prosthetic procedures. Meanwhile, </w:t>
      </w:r>
      <w:r w:rsidRPr="006E7998">
        <w:rPr>
          <w:rFonts w:ascii="Times New Roman" w:eastAsia="Times New Roman" w:hAnsi="Times New Roman" w:cs="Times New Roman"/>
          <w:b/>
          <w:bCs/>
          <w:sz w:val="24"/>
          <w:szCs w:val="24"/>
        </w:rPr>
        <w:t>digital imaging and CAD/CAM systems</w:t>
      </w:r>
      <w:r w:rsidRPr="006160A2">
        <w:rPr>
          <w:rFonts w:ascii="Times New Roman" w:eastAsia="Times New Roman" w:hAnsi="Times New Roman" w:cs="Times New Roman"/>
          <w:sz w:val="24"/>
          <w:szCs w:val="24"/>
        </w:rPr>
        <w:t xml:space="preserve"> are showing rapid growth due to increasing adoption of digital workflows.</w:t>
      </w:r>
    </w:p>
    <w:p w:rsidR="006160A2" w:rsidRPr="006160A2" w:rsidRDefault="006160A2" w:rsidP="006E799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6E7998">
        <w:rPr>
          <w:rFonts w:ascii="Times New Roman" w:eastAsia="Times New Roman" w:hAnsi="Times New Roman" w:cs="Times New Roman"/>
          <w:b/>
          <w:bCs/>
          <w:kern w:val="36"/>
          <w:sz w:val="24"/>
          <w:szCs w:val="24"/>
        </w:rPr>
        <w:t>Europe Dental Devices Market</w:t>
      </w:r>
      <w:r w:rsidRPr="006E7998">
        <w:rPr>
          <w:rFonts w:ascii="Times New Roman" w:eastAsia="Times New Roman" w:hAnsi="Times New Roman" w:cs="Times New Roman"/>
          <w:b/>
          <w:bCs/>
          <w:sz w:val="24"/>
          <w:szCs w:val="24"/>
        </w:rPr>
        <w:t xml:space="preserve"> </w:t>
      </w:r>
      <w:proofErr w:type="gramStart"/>
      <w:r w:rsidRPr="006E7998">
        <w:rPr>
          <w:rFonts w:ascii="Times New Roman" w:eastAsia="Times New Roman" w:hAnsi="Times New Roman" w:cs="Times New Roman"/>
          <w:b/>
          <w:bCs/>
          <w:sz w:val="24"/>
          <w:szCs w:val="24"/>
        </w:rPr>
        <w:t>By</w:t>
      </w:r>
      <w:proofErr w:type="gramEnd"/>
      <w:r w:rsidRPr="006E7998">
        <w:rPr>
          <w:rFonts w:ascii="Times New Roman" w:eastAsia="Times New Roman" w:hAnsi="Times New Roman" w:cs="Times New Roman"/>
          <w:b/>
          <w:bCs/>
          <w:sz w:val="24"/>
          <w:szCs w:val="24"/>
        </w:rPr>
        <w:t xml:space="preserve"> Treatment:</w:t>
      </w:r>
    </w:p>
    <w:p w:rsidR="006160A2" w:rsidRPr="006160A2" w:rsidRDefault="006160A2" w:rsidP="006E7998">
      <w:pPr>
        <w:numPr>
          <w:ilvl w:val="0"/>
          <w:numId w:val="12"/>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Orthodontic</w:t>
      </w:r>
    </w:p>
    <w:p w:rsidR="006160A2" w:rsidRPr="006160A2" w:rsidRDefault="006160A2" w:rsidP="006E7998">
      <w:pPr>
        <w:numPr>
          <w:ilvl w:val="0"/>
          <w:numId w:val="12"/>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Endodontic</w:t>
      </w:r>
    </w:p>
    <w:p w:rsidR="006160A2" w:rsidRPr="006160A2" w:rsidRDefault="006160A2" w:rsidP="006E7998">
      <w:pPr>
        <w:numPr>
          <w:ilvl w:val="0"/>
          <w:numId w:val="12"/>
        </w:numPr>
        <w:spacing w:before="100" w:beforeAutospacing="1" w:after="100" w:afterAutospacing="1" w:line="360" w:lineRule="auto"/>
        <w:ind w:left="0"/>
        <w:jc w:val="both"/>
        <w:rPr>
          <w:rFonts w:ascii="Times New Roman" w:eastAsia="Times New Roman" w:hAnsi="Times New Roman" w:cs="Times New Roman"/>
          <w:sz w:val="24"/>
          <w:szCs w:val="24"/>
        </w:rPr>
      </w:pPr>
      <w:proofErr w:type="spellStart"/>
      <w:r w:rsidRPr="006E7998">
        <w:rPr>
          <w:rFonts w:ascii="Times New Roman" w:eastAsia="Times New Roman" w:hAnsi="Times New Roman" w:cs="Times New Roman"/>
          <w:b/>
          <w:bCs/>
          <w:sz w:val="24"/>
          <w:szCs w:val="24"/>
        </w:rPr>
        <w:t>Periodontic</w:t>
      </w:r>
      <w:proofErr w:type="spellEnd"/>
      <w:r w:rsidR="009C6D65" w:rsidRPr="009C6D65">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-365760</wp:posOffset>
            </wp:positionH>
            <wp:positionV relativeFrom="page">
              <wp:posOffset>-1021080</wp:posOffset>
            </wp:positionV>
            <wp:extent cx="10222230" cy="14455140"/>
            <wp:effectExtent l="0" t="0" r="381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6160A2" w:rsidRPr="006160A2" w:rsidRDefault="006160A2" w:rsidP="006E7998">
      <w:pPr>
        <w:numPr>
          <w:ilvl w:val="0"/>
          <w:numId w:val="12"/>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Prosthodontic</w:t>
      </w:r>
    </w:p>
    <w:p w:rsidR="006160A2" w:rsidRPr="006160A2" w:rsidRDefault="006160A2" w:rsidP="006E7998">
      <w:pPr>
        <w:numPr>
          <w:ilvl w:val="0"/>
          <w:numId w:val="12"/>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Restorative and Preventive Dentistry</w:t>
      </w:r>
    </w:p>
    <w:p w:rsidR="006160A2" w:rsidRPr="006160A2"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Orthodontic treatments, especially aligner systems, have seen notable growth, thanks to rising demand from both teenagers and adults for aesthetic improvements and functional corrections.</w:t>
      </w:r>
    </w:p>
    <w:p w:rsidR="006160A2" w:rsidRPr="006160A2" w:rsidRDefault="006160A2" w:rsidP="006E799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6E7998">
        <w:rPr>
          <w:rFonts w:ascii="Times New Roman" w:eastAsia="Times New Roman" w:hAnsi="Times New Roman" w:cs="Times New Roman"/>
          <w:b/>
          <w:bCs/>
          <w:kern w:val="36"/>
          <w:sz w:val="24"/>
          <w:szCs w:val="24"/>
        </w:rPr>
        <w:t>Europe Dental Devices Market</w:t>
      </w:r>
      <w:r w:rsidRPr="006E7998">
        <w:rPr>
          <w:rFonts w:ascii="Times New Roman" w:eastAsia="Times New Roman" w:hAnsi="Times New Roman" w:cs="Times New Roman"/>
          <w:b/>
          <w:bCs/>
          <w:sz w:val="24"/>
          <w:szCs w:val="24"/>
        </w:rPr>
        <w:t xml:space="preserve"> </w:t>
      </w:r>
      <w:proofErr w:type="gramStart"/>
      <w:r w:rsidRPr="006E7998">
        <w:rPr>
          <w:rFonts w:ascii="Times New Roman" w:eastAsia="Times New Roman" w:hAnsi="Times New Roman" w:cs="Times New Roman"/>
          <w:b/>
          <w:bCs/>
          <w:sz w:val="24"/>
          <w:szCs w:val="24"/>
        </w:rPr>
        <w:t>By</w:t>
      </w:r>
      <w:proofErr w:type="gramEnd"/>
      <w:r w:rsidRPr="006E7998">
        <w:rPr>
          <w:rFonts w:ascii="Times New Roman" w:eastAsia="Times New Roman" w:hAnsi="Times New Roman" w:cs="Times New Roman"/>
          <w:b/>
          <w:bCs/>
          <w:sz w:val="24"/>
          <w:szCs w:val="24"/>
        </w:rPr>
        <w:t xml:space="preserve"> End-user:</w:t>
      </w:r>
    </w:p>
    <w:p w:rsidR="006160A2" w:rsidRPr="006160A2" w:rsidRDefault="006160A2" w:rsidP="006E7998">
      <w:pPr>
        <w:numPr>
          <w:ilvl w:val="0"/>
          <w:numId w:val="13"/>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Hospitals</w:t>
      </w:r>
      <w:r w:rsidR="009C6D65" w:rsidRPr="009C6D65">
        <w:rPr>
          <w:rFonts w:ascii="Times New Roman" w:eastAsia="Times New Roman" w:hAnsi="Times New Roman" w:cs="Times New Roman"/>
          <w:b/>
          <w:bCs/>
          <w:noProof/>
          <w:sz w:val="24"/>
          <w:szCs w:val="24"/>
          <w:lang w:val="en-IN" w:eastAsia="en-IN"/>
        </w:rPr>
        <w:drawing>
          <wp:anchor distT="0" distB="0" distL="0" distR="0" simplePos="0" relativeHeight="251665408" behindDoc="1" locked="0" layoutInCell="1" allowOverlap="1">
            <wp:simplePos x="0" y="0"/>
            <wp:positionH relativeFrom="page">
              <wp:posOffset>-213360</wp:posOffset>
            </wp:positionH>
            <wp:positionV relativeFrom="page">
              <wp:posOffset>-868680</wp:posOffset>
            </wp:positionV>
            <wp:extent cx="10222230" cy="14455140"/>
            <wp:effectExtent l="0" t="0" r="381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6160A2" w:rsidRPr="006160A2" w:rsidRDefault="006160A2" w:rsidP="006E7998">
      <w:pPr>
        <w:numPr>
          <w:ilvl w:val="0"/>
          <w:numId w:val="13"/>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Dental Clinics</w:t>
      </w:r>
    </w:p>
    <w:p w:rsidR="006160A2" w:rsidRPr="006160A2" w:rsidRDefault="006160A2" w:rsidP="006E7998">
      <w:pPr>
        <w:numPr>
          <w:ilvl w:val="0"/>
          <w:numId w:val="13"/>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Academic and Research Institutes</w:t>
      </w:r>
    </w:p>
    <w:p w:rsidR="006160A2" w:rsidRPr="006160A2" w:rsidRDefault="006160A2" w:rsidP="006E7998">
      <w:pPr>
        <w:numPr>
          <w:ilvl w:val="0"/>
          <w:numId w:val="13"/>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Dental Laboratories</w:t>
      </w:r>
    </w:p>
    <w:p w:rsidR="006160A2" w:rsidRPr="006160A2"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Private dental clinics</w:t>
      </w:r>
      <w:r w:rsidRPr="006160A2">
        <w:rPr>
          <w:rFonts w:ascii="Times New Roman" w:eastAsia="Times New Roman" w:hAnsi="Times New Roman" w:cs="Times New Roman"/>
          <w:sz w:val="24"/>
          <w:szCs w:val="24"/>
        </w:rPr>
        <w:t xml:space="preserve"> dominate the end-user segment, driven by a growing number of practitioners opening independent practices and offering a wide range of specialized services. </w:t>
      </w:r>
      <w:r w:rsidRPr="006E7998">
        <w:rPr>
          <w:rFonts w:ascii="Times New Roman" w:eastAsia="Times New Roman" w:hAnsi="Times New Roman" w:cs="Times New Roman"/>
          <w:b/>
          <w:bCs/>
          <w:sz w:val="24"/>
          <w:szCs w:val="24"/>
        </w:rPr>
        <w:t>Dental laboratories</w:t>
      </w:r>
      <w:r w:rsidRPr="006160A2">
        <w:rPr>
          <w:rFonts w:ascii="Times New Roman" w:eastAsia="Times New Roman" w:hAnsi="Times New Roman" w:cs="Times New Roman"/>
          <w:sz w:val="24"/>
          <w:szCs w:val="24"/>
        </w:rPr>
        <w:t xml:space="preserve"> are becoming essential partners in delivering custom-made prosthetics and restorations using CAD/CAM systems.</w:t>
      </w:r>
    </w:p>
    <w:p w:rsidR="006160A2" w:rsidRPr="006160A2" w:rsidRDefault="006160A2" w:rsidP="006E799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6E7998">
        <w:rPr>
          <w:rFonts w:ascii="Times New Roman" w:eastAsia="Times New Roman" w:hAnsi="Times New Roman" w:cs="Times New Roman"/>
          <w:b/>
          <w:bCs/>
          <w:kern w:val="36"/>
          <w:sz w:val="24"/>
          <w:szCs w:val="24"/>
        </w:rPr>
        <w:t>Europe Dental Devices Market</w:t>
      </w:r>
      <w:r w:rsidRPr="006E7998">
        <w:rPr>
          <w:rFonts w:ascii="Times New Roman" w:eastAsia="Times New Roman" w:hAnsi="Times New Roman" w:cs="Times New Roman"/>
          <w:b/>
          <w:bCs/>
          <w:sz w:val="24"/>
          <w:szCs w:val="24"/>
        </w:rPr>
        <w:t xml:space="preserve"> </w:t>
      </w:r>
      <w:proofErr w:type="gramStart"/>
      <w:r w:rsidRPr="006E7998">
        <w:rPr>
          <w:rFonts w:ascii="Times New Roman" w:eastAsia="Times New Roman" w:hAnsi="Times New Roman" w:cs="Times New Roman"/>
          <w:b/>
          <w:bCs/>
          <w:sz w:val="24"/>
          <w:szCs w:val="24"/>
        </w:rPr>
        <w:t>By</w:t>
      </w:r>
      <w:proofErr w:type="gramEnd"/>
      <w:r w:rsidRPr="006E7998">
        <w:rPr>
          <w:rFonts w:ascii="Times New Roman" w:eastAsia="Times New Roman" w:hAnsi="Times New Roman" w:cs="Times New Roman"/>
          <w:b/>
          <w:bCs/>
          <w:sz w:val="24"/>
          <w:szCs w:val="24"/>
        </w:rPr>
        <w:t xml:space="preserve"> Country:</w:t>
      </w:r>
    </w:p>
    <w:p w:rsidR="006160A2" w:rsidRPr="006160A2" w:rsidRDefault="006160A2" w:rsidP="006E7998">
      <w:pPr>
        <w:numPr>
          <w:ilvl w:val="0"/>
          <w:numId w:val="14"/>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lastRenderedPageBreak/>
        <w:t>Germany</w:t>
      </w:r>
    </w:p>
    <w:p w:rsidR="006160A2" w:rsidRPr="006160A2" w:rsidRDefault="006160A2" w:rsidP="006E7998">
      <w:pPr>
        <w:numPr>
          <w:ilvl w:val="0"/>
          <w:numId w:val="14"/>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United Kingdom</w:t>
      </w:r>
    </w:p>
    <w:p w:rsidR="006160A2" w:rsidRPr="006160A2" w:rsidRDefault="006160A2" w:rsidP="006E7998">
      <w:pPr>
        <w:numPr>
          <w:ilvl w:val="0"/>
          <w:numId w:val="14"/>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France</w:t>
      </w:r>
    </w:p>
    <w:p w:rsidR="006160A2" w:rsidRPr="006160A2" w:rsidRDefault="006160A2" w:rsidP="006E7998">
      <w:pPr>
        <w:numPr>
          <w:ilvl w:val="0"/>
          <w:numId w:val="14"/>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Italy</w:t>
      </w:r>
    </w:p>
    <w:p w:rsidR="006160A2" w:rsidRPr="006160A2" w:rsidRDefault="006160A2" w:rsidP="006E7998">
      <w:pPr>
        <w:numPr>
          <w:ilvl w:val="0"/>
          <w:numId w:val="14"/>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Spain</w:t>
      </w:r>
    </w:p>
    <w:p w:rsidR="006160A2" w:rsidRPr="006160A2" w:rsidRDefault="006160A2" w:rsidP="006E7998">
      <w:pPr>
        <w:numPr>
          <w:ilvl w:val="0"/>
          <w:numId w:val="14"/>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Rest of Europe</w:t>
      </w:r>
    </w:p>
    <w:p w:rsidR="006160A2" w:rsidRPr="006160A2"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Germany</w:t>
      </w:r>
      <w:r w:rsidRPr="006160A2">
        <w:rPr>
          <w:rFonts w:ascii="Times New Roman" w:eastAsia="Times New Roman" w:hAnsi="Times New Roman" w:cs="Times New Roman"/>
          <w:sz w:val="24"/>
          <w:szCs w:val="24"/>
        </w:rPr>
        <w:t xml:space="preserve"> leads the regional market due to its large geriatric population, advanced healthcare infrastructure, and early adoption of dental technologies. The </w:t>
      </w:r>
      <w:r w:rsidRPr="006E7998">
        <w:rPr>
          <w:rFonts w:ascii="Times New Roman" w:eastAsia="Times New Roman" w:hAnsi="Times New Roman" w:cs="Times New Roman"/>
          <w:b/>
          <w:bCs/>
          <w:sz w:val="24"/>
          <w:szCs w:val="24"/>
        </w:rPr>
        <w:t>UK</w:t>
      </w:r>
      <w:r w:rsidRPr="006160A2">
        <w:rPr>
          <w:rFonts w:ascii="Times New Roman" w:eastAsia="Times New Roman" w:hAnsi="Times New Roman" w:cs="Times New Roman"/>
          <w:sz w:val="24"/>
          <w:szCs w:val="24"/>
        </w:rPr>
        <w:t xml:space="preserve"> and </w:t>
      </w:r>
      <w:r w:rsidRPr="006E7998">
        <w:rPr>
          <w:rFonts w:ascii="Times New Roman" w:eastAsia="Times New Roman" w:hAnsi="Times New Roman" w:cs="Times New Roman"/>
          <w:b/>
          <w:bCs/>
          <w:sz w:val="24"/>
          <w:szCs w:val="24"/>
        </w:rPr>
        <w:t>France</w:t>
      </w:r>
      <w:r w:rsidRPr="006160A2">
        <w:rPr>
          <w:rFonts w:ascii="Times New Roman" w:eastAsia="Times New Roman" w:hAnsi="Times New Roman" w:cs="Times New Roman"/>
          <w:sz w:val="24"/>
          <w:szCs w:val="24"/>
        </w:rPr>
        <w:t xml:space="preserve"> follow closely, supported by high healthcare spending and well-established dental insurance frameworks.</w:t>
      </w:r>
    </w:p>
    <w:p w:rsidR="006160A2" w:rsidRPr="006160A2" w:rsidRDefault="006160A2"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6E7998">
        <w:rPr>
          <w:rFonts w:ascii="Times New Roman" w:eastAsia="Times New Roman" w:hAnsi="Times New Roman" w:cs="Times New Roman"/>
          <w:b/>
          <w:bCs/>
          <w:sz w:val="24"/>
          <w:szCs w:val="24"/>
        </w:rPr>
        <w:t>Key Players</w:t>
      </w:r>
    </w:p>
    <w:p w:rsidR="006160A2" w:rsidRPr="007A34F5" w:rsidRDefault="006160A2" w:rsidP="006E7998">
      <w:pPr>
        <w:spacing w:before="100" w:beforeAutospacing="1" w:after="100" w:afterAutospacing="1" w:line="360" w:lineRule="auto"/>
        <w:jc w:val="both"/>
      </w:pPr>
      <w:r w:rsidRPr="006160A2">
        <w:rPr>
          <w:rFonts w:ascii="Times New Roman" w:eastAsia="Times New Roman" w:hAnsi="Times New Roman" w:cs="Times New Roman"/>
          <w:sz w:val="24"/>
          <w:szCs w:val="24"/>
        </w:rPr>
        <w:t>Leading players in the Europe Dental Devices Market include:</w:t>
      </w:r>
      <w:r w:rsidR="007A34F5" w:rsidRPr="007A34F5">
        <w:t xml:space="preserve"> </w:t>
      </w:r>
      <w:proofErr w:type="spellStart"/>
      <w:r w:rsidR="007A34F5" w:rsidRPr="007A34F5">
        <w:rPr>
          <w:rFonts w:ascii="Times New Roman" w:hAnsi="Times New Roman" w:cs="Times New Roman"/>
          <w:sz w:val="24"/>
        </w:rPr>
        <w:t>Straumann</w:t>
      </w:r>
      <w:proofErr w:type="spellEnd"/>
      <w:r w:rsidR="007A34F5" w:rsidRPr="007A34F5">
        <w:rPr>
          <w:rFonts w:ascii="Times New Roman" w:hAnsi="Times New Roman" w:cs="Times New Roman"/>
          <w:sz w:val="24"/>
        </w:rPr>
        <w:t xml:space="preserve"> Group, </w:t>
      </w:r>
      <w:proofErr w:type="spellStart"/>
      <w:r w:rsidR="007A34F5" w:rsidRPr="007A34F5">
        <w:rPr>
          <w:rFonts w:ascii="Times New Roman" w:hAnsi="Times New Roman" w:cs="Times New Roman"/>
          <w:sz w:val="24"/>
        </w:rPr>
        <w:t>Dentsply</w:t>
      </w:r>
      <w:proofErr w:type="spellEnd"/>
      <w:r w:rsidR="007A34F5" w:rsidRPr="007A34F5">
        <w:rPr>
          <w:rFonts w:ascii="Times New Roman" w:hAnsi="Times New Roman" w:cs="Times New Roman"/>
          <w:sz w:val="24"/>
        </w:rPr>
        <w:t xml:space="preserve"> Sirona, </w:t>
      </w:r>
      <w:proofErr w:type="spellStart"/>
      <w:r w:rsidR="007A34F5" w:rsidRPr="007A34F5">
        <w:rPr>
          <w:rFonts w:ascii="Times New Roman" w:hAnsi="Times New Roman" w:cs="Times New Roman"/>
          <w:sz w:val="24"/>
        </w:rPr>
        <w:t>Planmeca</w:t>
      </w:r>
      <w:proofErr w:type="spellEnd"/>
      <w:r w:rsidR="007A34F5" w:rsidRPr="007A34F5">
        <w:rPr>
          <w:rFonts w:ascii="Times New Roman" w:hAnsi="Times New Roman" w:cs="Times New Roman"/>
          <w:sz w:val="24"/>
        </w:rPr>
        <w:t xml:space="preserve"> Oy, </w:t>
      </w:r>
      <w:proofErr w:type="spellStart"/>
      <w:r w:rsidR="007A34F5" w:rsidRPr="007A34F5">
        <w:rPr>
          <w:rFonts w:ascii="Times New Roman" w:hAnsi="Times New Roman" w:cs="Times New Roman"/>
          <w:sz w:val="24"/>
        </w:rPr>
        <w:t>KaVo</w:t>
      </w:r>
      <w:proofErr w:type="spellEnd"/>
      <w:r w:rsidR="007A34F5" w:rsidRPr="007A34F5">
        <w:rPr>
          <w:rFonts w:ascii="Times New Roman" w:hAnsi="Times New Roman" w:cs="Times New Roman"/>
          <w:sz w:val="24"/>
        </w:rPr>
        <w:t xml:space="preserve"> Dental, W&amp;H </w:t>
      </w:r>
      <w:proofErr w:type="spellStart"/>
      <w:r w:rsidR="007A34F5" w:rsidRPr="007A34F5">
        <w:rPr>
          <w:rFonts w:ascii="Times New Roman" w:hAnsi="Times New Roman" w:cs="Times New Roman"/>
          <w:sz w:val="24"/>
        </w:rPr>
        <w:t>Dentalwerk</w:t>
      </w:r>
      <w:proofErr w:type="spellEnd"/>
      <w:r w:rsidR="007A34F5" w:rsidRPr="007A34F5">
        <w:rPr>
          <w:rFonts w:ascii="Times New Roman" w:hAnsi="Times New Roman" w:cs="Times New Roman"/>
          <w:sz w:val="24"/>
        </w:rPr>
        <w:t xml:space="preserve">, </w:t>
      </w:r>
      <w:proofErr w:type="spellStart"/>
      <w:r w:rsidR="007A34F5" w:rsidRPr="007A34F5">
        <w:rPr>
          <w:rFonts w:ascii="Times New Roman" w:hAnsi="Times New Roman" w:cs="Times New Roman"/>
          <w:sz w:val="24"/>
        </w:rPr>
        <w:t>Dürr</w:t>
      </w:r>
      <w:proofErr w:type="spellEnd"/>
      <w:r w:rsidR="007A34F5" w:rsidRPr="007A34F5">
        <w:rPr>
          <w:rFonts w:ascii="Times New Roman" w:hAnsi="Times New Roman" w:cs="Times New Roman"/>
          <w:sz w:val="24"/>
        </w:rPr>
        <w:t xml:space="preserve"> Dental, </w:t>
      </w:r>
      <w:proofErr w:type="spellStart"/>
      <w:r w:rsidR="007A34F5" w:rsidRPr="007A34F5">
        <w:rPr>
          <w:rFonts w:ascii="Times New Roman" w:hAnsi="Times New Roman" w:cs="Times New Roman"/>
          <w:sz w:val="24"/>
        </w:rPr>
        <w:t>Ivoclar</w:t>
      </w:r>
      <w:proofErr w:type="spellEnd"/>
      <w:r w:rsidR="007A34F5" w:rsidRPr="007A34F5">
        <w:rPr>
          <w:rFonts w:ascii="Times New Roman" w:hAnsi="Times New Roman" w:cs="Times New Roman"/>
          <w:sz w:val="24"/>
        </w:rPr>
        <w:t xml:space="preserve">, 3M Oral Care, GC Corporation, Nobel </w:t>
      </w:r>
      <w:proofErr w:type="spellStart"/>
      <w:r w:rsidR="007A34F5" w:rsidRPr="007A34F5">
        <w:rPr>
          <w:rFonts w:ascii="Times New Roman" w:hAnsi="Times New Roman" w:cs="Times New Roman"/>
          <w:sz w:val="24"/>
        </w:rPr>
        <w:t>Biocare</w:t>
      </w:r>
      <w:proofErr w:type="spellEnd"/>
      <w:r w:rsidR="007A34F5" w:rsidRPr="007A34F5">
        <w:rPr>
          <w:rFonts w:ascii="Times New Roman" w:hAnsi="Times New Roman" w:cs="Times New Roman"/>
          <w:sz w:val="24"/>
        </w:rPr>
        <w:t xml:space="preserve">, Zimmer Biomet Dental, Henry Schein Dental, </w:t>
      </w:r>
      <w:proofErr w:type="spellStart"/>
      <w:r w:rsidR="007A34F5" w:rsidRPr="007A34F5">
        <w:rPr>
          <w:rFonts w:ascii="Times New Roman" w:hAnsi="Times New Roman" w:cs="Times New Roman"/>
          <w:sz w:val="24"/>
        </w:rPr>
        <w:t>Septodont</w:t>
      </w:r>
      <w:proofErr w:type="spellEnd"/>
      <w:r w:rsidR="007A34F5" w:rsidRPr="007A34F5">
        <w:rPr>
          <w:rFonts w:ascii="Times New Roman" w:hAnsi="Times New Roman" w:cs="Times New Roman"/>
          <w:sz w:val="24"/>
        </w:rPr>
        <w:t xml:space="preserve">, Acteon Group, </w:t>
      </w:r>
      <w:proofErr w:type="spellStart"/>
      <w:r w:rsidR="007A34F5" w:rsidRPr="007A34F5">
        <w:rPr>
          <w:rFonts w:ascii="Times New Roman" w:hAnsi="Times New Roman" w:cs="Times New Roman"/>
          <w:sz w:val="24"/>
        </w:rPr>
        <w:t>Vatech</w:t>
      </w:r>
      <w:proofErr w:type="spellEnd"/>
      <w:r w:rsidR="007A34F5" w:rsidRPr="007A34F5">
        <w:rPr>
          <w:rFonts w:ascii="Times New Roman" w:hAnsi="Times New Roman" w:cs="Times New Roman"/>
          <w:sz w:val="24"/>
        </w:rPr>
        <w:t xml:space="preserve">, </w:t>
      </w:r>
      <w:proofErr w:type="spellStart"/>
      <w:r w:rsidR="007A34F5" w:rsidRPr="007A34F5">
        <w:rPr>
          <w:rFonts w:ascii="Times New Roman" w:hAnsi="Times New Roman" w:cs="Times New Roman"/>
          <w:sz w:val="24"/>
        </w:rPr>
        <w:t>Carestream</w:t>
      </w:r>
      <w:proofErr w:type="spellEnd"/>
      <w:r w:rsidR="007A34F5" w:rsidRPr="007A34F5">
        <w:rPr>
          <w:rFonts w:ascii="Times New Roman" w:hAnsi="Times New Roman" w:cs="Times New Roman"/>
          <w:sz w:val="24"/>
        </w:rPr>
        <w:t xml:space="preserve"> Dental, </w:t>
      </w:r>
      <w:proofErr w:type="spellStart"/>
      <w:r w:rsidR="007A34F5" w:rsidRPr="007A34F5">
        <w:rPr>
          <w:rFonts w:ascii="Times New Roman" w:hAnsi="Times New Roman" w:cs="Times New Roman"/>
          <w:sz w:val="24"/>
        </w:rPr>
        <w:t>Coltene</w:t>
      </w:r>
      <w:proofErr w:type="spellEnd"/>
      <w:r w:rsidR="007A34F5" w:rsidRPr="007A34F5">
        <w:rPr>
          <w:rFonts w:ascii="Times New Roman" w:hAnsi="Times New Roman" w:cs="Times New Roman"/>
          <w:sz w:val="24"/>
        </w:rPr>
        <w:t xml:space="preserve"> Holding AG, </w:t>
      </w:r>
      <w:proofErr w:type="spellStart"/>
      <w:r w:rsidR="007A34F5" w:rsidRPr="007A34F5">
        <w:rPr>
          <w:rFonts w:ascii="Times New Roman" w:hAnsi="Times New Roman" w:cs="Times New Roman"/>
          <w:sz w:val="24"/>
        </w:rPr>
        <w:t>Haleon</w:t>
      </w:r>
      <w:proofErr w:type="spellEnd"/>
      <w:r w:rsidR="007A34F5" w:rsidRPr="007A34F5">
        <w:rPr>
          <w:rFonts w:ascii="Times New Roman" w:hAnsi="Times New Roman" w:cs="Times New Roman"/>
          <w:sz w:val="24"/>
        </w:rPr>
        <w:t xml:space="preserve">, </w:t>
      </w:r>
      <w:proofErr w:type="spellStart"/>
      <w:r w:rsidR="007A34F5" w:rsidRPr="007A34F5">
        <w:rPr>
          <w:rFonts w:ascii="Times New Roman" w:hAnsi="Times New Roman" w:cs="Times New Roman"/>
          <w:sz w:val="24"/>
        </w:rPr>
        <w:t>Ultradent</w:t>
      </w:r>
      <w:proofErr w:type="spellEnd"/>
      <w:r w:rsidR="007A34F5" w:rsidRPr="007A34F5">
        <w:rPr>
          <w:rFonts w:ascii="Times New Roman" w:hAnsi="Times New Roman" w:cs="Times New Roman"/>
          <w:sz w:val="24"/>
        </w:rPr>
        <w:t xml:space="preserve"> Products Inc., </w:t>
      </w:r>
      <w:proofErr w:type="spellStart"/>
      <w:r w:rsidR="007A34F5" w:rsidRPr="007A34F5">
        <w:rPr>
          <w:rFonts w:ascii="Times New Roman" w:hAnsi="Times New Roman" w:cs="Times New Roman"/>
          <w:sz w:val="24"/>
        </w:rPr>
        <w:t>Voco</w:t>
      </w:r>
      <w:proofErr w:type="spellEnd"/>
      <w:r w:rsidR="007A34F5" w:rsidRPr="007A34F5">
        <w:rPr>
          <w:rFonts w:ascii="Times New Roman" w:hAnsi="Times New Roman" w:cs="Times New Roman"/>
          <w:sz w:val="24"/>
        </w:rPr>
        <w:t xml:space="preserve"> GmbH</w:t>
      </w:r>
    </w:p>
    <w:p w:rsidR="006160A2" w:rsidRPr="006160A2"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These companies are investing heavily in product innovation, partnerships, digital transformation, and expanding their presence through acquisitions and collaborations with clinics and dental groups across Europe.</w:t>
      </w:r>
    </w:p>
    <w:p w:rsidR="006160A2" w:rsidRPr="006160A2" w:rsidRDefault="006160A2"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6E7998">
        <w:rPr>
          <w:rFonts w:ascii="Times New Roman" w:eastAsia="Times New Roman" w:hAnsi="Times New Roman" w:cs="Times New Roman"/>
          <w:b/>
          <w:bCs/>
          <w:sz w:val="24"/>
          <w:szCs w:val="24"/>
        </w:rPr>
        <w:t>Key Developments</w:t>
      </w:r>
    </w:p>
    <w:p w:rsidR="006160A2" w:rsidRPr="006160A2" w:rsidRDefault="006160A2" w:rsidP="006E7998">
      <w:pPr>
        <w:numPr>
          <w:ilvl w:val="0"/>
          <w:numId w:val="16"/>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 xml:space="preserve">In 2024, </w:t>
      </w:r>
      <w:proofErr w:type="spellStart"/>
      <w:r w:rsidRPr="006E7998">
        <w:rPr>
          <w:rFonts w:ascii="Times New Roman" w:eastAsia="Times New Roman" w:hAnsi="Times New Roman" w:cs="Times New Roman"/>
          <w:b/>
          <w:bCs/>
          <w:sz w:val="24"/>
          <w:szCs w:val="24"/>
        </w:rPr>
        <w:t>Dentsply</w:t>
      </w:r>
      <w:proofErr w:type="spellEnd"/>
      <w:r w:rsidRPr="006E7998">
        <w:rPr>
          <w:rFonts w:ascii="Times New Roman" w:eastAsia="Times New Roman" w:hAnsi="Times New Roman" w:cs="Times New Roman"/>
          <w:b/>
          <w:bCs/>
          <w:sz w:val="24"/>
          <w:szCs w:val="24"/>
        </w:rPr>
        <w:t xml:space="preserve"> Sirona launched a new range of intraoral scanners integrated with AI-powered diagnostic support tools</w:t>
      </w:r>
      <w:r w:rsidRPr="006160A2">
        <w:rPr>
          <w:rFonts w:ascii="Times New Roman" w:eastAsia="Times New Roman" w:hAnsi="Times New Roman" w:cs="Times New Roman"/>
          <w:sz w:val="24"/>
          <w:szCs w:val="24"/>
        </w:rPr>
        <w:t>, enhancing precision in treatment planning and early disease detection.</w:t>
      </w:r>
    </w:p>
    <w:p w:rsidR="007A3AD5" w:rsidRPr="007A3AD5" w:rsidRDefault="007A3AD5" w:rsidP="006E7998">
      <w:pPr>
        <w:numPr>
          <w:ilvl w:val="0"/>
          <w:numId w:val="16"/>
        </w:numPr>
        <w:spacing w:before="100" w:beforeAutospacing="1" w:after="100" w:afterAutospacing="1" w:line="360" w:lineRule="auto"/>
        <w:ind w:left="0"/>
        <w:jc w:val="both"/>
        <w:rPr>
          <w:rFonts w:ascii="Times New Roman" w:eastAsia="Times New Roman" w:hAnsi="Times New Roman" w:cs="Times New Roman"/>
          <w:sz w:val="24"/>
          <w:szCs w:val="24"/>
        </w:rPr>
      </w:pPr>
      <w:proofErr w:type="spellStart"/>
      <w:r w:rsidRPr="007A3AD5">
        <w:rPr>
          <w:rFonts w:ascii="Times New Roman" w:eastAsia="Times New Roman" w:hAnsi="Times New Roman" w:cs="Times New Roman"/>
          <w:b/>
          <w:bCs/>
          <w:sz w:val="24"/>
          <w:szCs w:val="24"/>
        </w:rPr>
        <w:t>Envista</w:t>
      </w:r>
      <w:proofErr w:type="spellEnd"/>
      <w:r w:rsidRPr="007A3AD5">
        <w:rPr>
          <w:rFonts w:ascii="Times New Roman" w:eastAsia="Times New Roman" w:hAnsi="Times New Roman" w:cs="Times New Roman"/>
          <w:b/>
          <w:bCs/>
          <w:sz w:val="24"/>
          <w:szCs w:val="24"/>
        </w:rPr>
        <w:t xml:space="preserve"> registered consistent financial performance in Q4 2024, with sales at $653 million, a 2.0% core sales growth compared to Q4 2023. </w:t>
      </w:r>
      <w:r w:rsidRPr="007A3AD5">
        <w:rPr>
          <w:rFonts w:ascii="Times New Roman" w:eastAsia="Times New Roman" w:hAnsi="Times New Roman" w:cs="Times New Roman"/>
          <w:bCs/>
          <w:sz w:val="24"/>
          <w:szCs w:val="24"/>
        </w:rPr>
        <w:t>The company noted excellent performance in dental implants and Spark aligners.</w:t>
      </w:r>
    </w:p>
    <w:p w:rsidR="007A3AD5" w:rsidRPr="007A3AD5" w:rsidRDefault="007A3AD5" w:rsidP="006E7998">
      <w:pPr>
        <w:numPr>
          <w:ilvl w:val="0"/>
          <w:numId w:val="16"/>
        </w:numPr>
        <w:spacing w:before="100" w:beforeAutospacing="1" w:after="100" w:afterAutospacing="1" w:line="360" w:lineRule="auto"/>
        <w:ind w:left="0"/>
        <w:jc w:val="both"/>
        <w:rPr>
          <w:rFonts w:ascii="Times New Roman" w:eastAsia="Times New Roman" w:hAnsi="Times New Roman" w:cs="Times New Roman"/>
          <w:sz w:val="24"/>
          <w:szCs w:val="24"/>
        </w:rPr>
      </w:pPr>
      <w:r w:rsidRPr="007A3AD5">
        <w:rPr>
          <w:rFonts w:ascii="Times New Roman" w:eastAsia="Times New Roman" w:hAnsi="Times New Roman" w:cs="Times New Roman"/>
          <w:b/>
          <w:bCs/>
          <w:sz w:val="24"/>
          <w:szCs w:val="24"/>
        </w:rPr>
        <w:t xml:space="preserve">European dental clinics more and more embraced advanced infection control devices and systems in 2024. </w:t>
      </w:r>
      <w:r w:rsidRPr="007A3AD5">
        <w:rPr>
          <w:rFonts w:ascii="Times New Roman" w:eastAsia="Times New Roman" w:hAnsi="Times New Roman" w:cs="Times New Roman"/>
          <w:bCs/>
          <w:sz w:val="24"/>
          <w:szCs w:val="24"/>
        </w:rPr>
        <w:t xml:space="preserve">The incorporation of state-of-the-art technologies like autoclaves, ultrasonic </w:t>
      </w:r>
      <w:r w:rsidRPr="007A3AD5">
        <w:rPr>
          <w:rFonts w:ascii="Times New Roman" w:eastAsia="Times New Roman" w:hAnsi="Times New Roman" w:cs="Times New Roman"/>
          <w:bCs/>
          <w:sz w:val="24"/>
          <w:szCs w:val="24"/>
        </w:rPr>
        <w:lastRenderedPageBreak/>
        <w:t>cleaners, and sophisticated sterilization monitoring systems enhanced operational effectiveness and adherence to infection control procedures.</w:t>
      </w:r>
    </w:p>
    <w:p w:rsidR="006160A2" w:rsidRPr="006160A2" w:rsidRDefault="006160A2"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6E7998">
        <w:rPr>
          <w:rFonts w:ascii="Times New Roman" w:eastAsia="Times New Roman" w:hAnsi="Times New Roman" w:cs="Times New Roman"/>
          <w:b/>
          <w:bCs/>
          <w:sz w:val="24"/>
          <w:szCs w:val="24"/>
        </w:rPr>
        <w:t>Market Attractiveness</w:t>
      </w:r>
    </w:p>
    <w:p w:rsidR="006160A2" w:rsidRPr="006160A2" w:rsidRDefault="009C6D65" w:rsidP="006E799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-47625</wp:posOffset>
            </wp:positionH>
            <wp:positionV relativeFrom="page">
              <wp:posOffset>-563880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6160A2" w:rsidRPr="006160A2">
        <w:rPr>
          <w:rFonts w:ascii="Times New Roman" w:eastAsia="Times New Roman" w:hAnsi="Times New Roman" w:cs="Times New Roman"/>
          <w:sz w:val="24"/>
          <w:szCs w:val="24"/>
        </w:rPr>
        <w:t>The European dental devices market is highly attractive due to its established regulatory framework, technological maturity, and consumer awareness. Countries in Western Europe, such as Germany, the UK, and France, present the most lucrative opportunities. Meanwhile, Eastern Europe is emerging as a growing hub for affordable dental care and manufacturing outsourcing.</w:t>
      </w:r>
    </w:p>
    <w:p w:rsidR="006160A2" w:rsidRPr="006160A2" w:rsidRDefault="006160A2" w:rsidP="006E7998">
      <w:pPr>
        <w:spacing w:before="100" w:beforeAutospacing="1" w:after="100" w:afterAutospacing="1" w:line="360" w:lineRule="auto"/>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Market attractiveness is also influenced by increasing dental insurance penetration, rising medical tourism, and efforts to integrate oral health with general health systems.</w:t>
      </w:r>
    </w:p>
    <w:p w:rsidR="006160A2" w:rsidRPr="006160A2"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9744" behindDoc="1" locked="0" layoutInCell="1" allowOverlap="1">
            <wp:simplePos x="0" y="0"/>
            <wp:positionH relativeFrom="page">
              <wp:posOffset>-49530</wp:posOffset>
            </wp:positionH>
            <wp:positionV relativeFrom="page">
              <wp:posOffset>-259080</wp:posOffset>
            </wp:positionV>
            <wp:extent cx="10222230" cy="14455140"/>
            <wp:effectExtent l="19050" t="0" r="7620" b="0"/>
            <wp:wrapNone/>
            <wp:docPr id="1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6160A2" w:rsidRPr="006E7998">
        <w:rPr>
          <w:rFonts w:ascii="Times New Roman" w:eastAsia="Times New Roman" w:hAnsi="Times New Roman" w:cs="Times New Roman"/>
          <w:b/>
          <w:bCs/>
          <w:sz w:val="24"/>
          <w:szCs w:val="24"/>
        </w:rPr>
        <w:t>Porter’s Five Forces Analysis</w:t>
      </w:r>
    </w:p>
    <w:p w:rsidR="006160A2" w:rsidRPr="006160A2" w:rsidRDefault="006160A2" w:rsidP="006E7998">
      <w:pPr>
        <w:numPr>
          <w:ilvl w:val="0"/>
          <w:numId w:val="17"/>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Threat of New Entrants:</w:t>
      </w:r>
      <w:r w:rsidRPr="006160A2">
        <w:rPr>
          <w:rFonts w:ascii="Times New Roman" w:eastAsia="Times New Roman" w:hAnsi="Times New Roman" w:cs="Times New Roman"/>
          <w:sz w:val="24"/>
          <w:szCs w:val="24"/>
        </w:rPr>
        <w:t xml:space="preserve"> Moderate – regulatory barriers and the need for technical know-how can restrict new players.</w:t>
      </w:r>
    </w:p>
    <w:p w:rsidR="006160A2" w:rsidRPr="006160A2" w:rsidRDefault="006160A2" w:rsidP="006E7998">
      <w:pPr>
        <w:numPr>
          <w:ilvl w:val="0"/>
          <w:numId w:val="17"/>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Bargaining Power of Suppliers:</w:t>
      </w:r>
      <w:r w:rsidRPr="006160A2">
        <w:rPr>
          <w:rFonts w:ascii="Times New Roman" w:eastAsia="Times New Roman" w:hAnsi="Times New Roman" w:cs="Times New Roman"/>
          <w:sz w:val="24"/>
          <w:szCs w:val="24"/>
        </w:rPr>
        <w:t xml:space="preserve"> Moderate – specialized components and materials are controlled by a few players.</w:t>
      </w:r>
    </w:p>
    <w:p w:rsidR="006160A2" w:rsidRPr="006160A2" w:rsidRDefault="006160A2" w:rsidP="006E7998">
      <w:pPr>
        <w:numPr>
          <w:ilvl w:val="0"/>
          <w:numId w:val="17"/>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Bargaining Power of Buyers:</w:t>
      </w:r>
      <w:r w:rsidRPr="006160A2">
        <w:rPr>
          <w:rFonts w:ascii="Times New Roman" w:eastAsia="Times New Roman" w:hAnsi="Times New Roman" w:cs="Times New Roman"/>
          <w:sz w:val="24"/>
          <w:szCs w:val="24"/>
        </w:rPr>
        <w:t xml:space="preserve"> High – buyers have access to multiple brands and demand high value and competitive pricing.</w:t>
      </w:r>
    </w:p>
    <w:p w:rsidR="006160A2" w:rsidRPr="006160A2" w:rsidRDefault="006160A2" w:rsidP="006E7998">
      <w:pPr>
        <w:numPr>
          <w:ilvl w:val="0"/>
          <w:numId w:val="17"/>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Threat of Substitutes:</w:t>
      </w:r>
      <w:r w:rsidRPr="006160A2">
        <w:rPr>
          <w:rFonts w:ascii="Times New Roman" w:eastAsia="Times New Roman" w:hAnsi="Times New Roman" w:cs="Times New Roman"/>
          <w:sz w:val="24"/>
          <w:szCs w:val="24"/>
        </w:rPr>
        <w:t xml:space="preserve"> Low – few substitutes exist for professional dental equipment in clinical settings.</w:t>
      </w:r>
    </w:p>
    <w:p w:rsidR="006160A2" w:rsidRPr="006160A2" w:rsidRDefault="006160A2" w:rsidP="006E7998">
      <w:pPr>
        <w:numPr>
          <w:ilvl w:val="0"/>
          <w:numId w:val="17"/>
        </w:numPr>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Industry Rivalry:</w:t>
      </w:r>
      <w:r w:rsidRPr="006160A2">
        <w:rPr>
          <w:rFonts w:ascii="Times New Roman" w:eastAsia="Times New Roman" w:hAnsi="Times New Roman" w:cs="Times New Roman"/>
          <w:sz w:val="24"/>
          <w:szCs w:val="24"/>
        </w:rPr>
        <w:t xml:space="preserve"> High – constant innovation, product launches, and pricing competition intensify rivalry among players.</w:t>
      </w: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Default="007A3AD5" w:rsidP="006E799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A3AD5" w:rsidRPr="007A3AD5" w:rsidRDefault="007A3AD5" w:rsidP="006E7998">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160A2" w:rsidRPr="007A3AD5" w:rsidRDefault="006160A2" w:rsidP="006E7998">
      <w:pPr>
        <w:spacing w:before="100" w:beforeAutospacing="1" w:after="100" w:afterAutospacing="1" w:line="360" w:lineRule="auto"/>
        <w:jc w:val="both"/>
        <w:outlineLvl w:val="1"/>
        <w:rPr>
          <w:rFonts w:ascii="Times New Roman" w:eastAsia="Times New Roman" w:hAnsi="Times New Roman" w:cs="Times New Roman"/>
          <w:b/>
          <w:bCs/>
          <w:sz w:val="36"/>
          <w:szCs w:val="24"/>
        </w:rPr>
      </w:pPr>
      <w:r w:rsidRPr="007A3AD5">
        <w:rPr>
          <w:rFonts w:ascii="Times New Roman" w:eastAsia="Times New Roman" w:hAnsi="Times New Roman" w:cs="Times New Roman"/>
          <w:b/>
          <w:bCs/>
          <w:sz w:val="36"/>
          <w:szCs w:val="24"/>
        </w:rPr>
        <w:t>Table of Contents</w:t>
      </w:r>
    </w:p>
    <w:p w:rsidR="006160A2" w:rsidRPr="006160A2" w:rsidRDefault="006160A2" w:rsidP="00E21E74">
      <w:pPr>
        <w:numPr>
          <w:ilvl w:val="0"/>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Introduction</w:t>
      </w:r>
    </w:p>
    <w:p w:rsidR="006160A2" w:rsidRPr="006160A2" w:rsidRDefault="006160A2" w:rsidP="00E21E74">
      <w:pPr>
        <w:numPr>
          <w:ilvl w:val="1"/>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Overview of the Market</w:t>
      </w:r>
    </w:p>
    <w:p w:rsidR="006160A2" w:rsidRPr="006160A2" w:rsidRDefault="006160A2" w:rsidP="00E21E74">
      <w:pPr>
        <w:numPr>
          <w:ilvl w:val="1"/>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Scope of the Report</w:t>
      </w:r>
    </w:p>
    <w:p w:rsidR="006160A2" w:rsidRPr="006160A2" w:rsidRDefault="006160A2" w:rsidP="00E21E74">
      <w:pPr>
        <w:numPr>
          <w:ilvl w:val="1"/>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Assumptions</w:t>
      </w:r>
    </w:p>
    <w:p w:rsidR="006160A2" w:rsidRPr="006160A2" w:rsidRDefault="006160A2" w:rsidP="00E21E74">
      <w:pPr>
        <w:numPr>
          <w:ilvl w:val="0"/>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Executive Summary</w:t>
      </w:r>
    </w:p>
    <w:p w:rsidR="006160A2" w:rsidRPr="006160A2" w:rsidRDefault="006160A2" w:rsidP="00E21E74">
      <w:pPr>
        <w:numPr>
          <w:ilvl w:val="0"/>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Research Methodology</w:t>
      </w:r>
    </w:p>
    <w:p w:rsidR="006160A2" w:rsidRPr="006160A2" w:rsidRDefault="006160A2" w:rsidP="00E21E74">
      <w:pPr>
        <w:numPr>
          <w:ilvl w:val="1"/>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Data Mining</w:t>
      </w:r>
    </w:p>
    <w:p w:rsidR="006160A2" w:rsidRPr="006160A2" w:rsidRDefault="006160A2" w:rsidP="00E21E74">
      <w:pPr>
        <w:numPr>
          <w:ilvl w:val="1"/>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Validation</w:t>
      </w:r>
    </w:p>
    <w:p w:rsidR="006160A2" w:rsidRPr="006160A2" w:rsidRDefault="006160A2" w:rsidP="00E21E74">
      <w:pPr>
        <w:numPr>
          <w:ilvl w:val="1"/>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Primary Interviews</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List of Data Sources</w:t>
      </w:r>
    </w:p>
    <w:p w:rsidR="006160A2" w:rsidRPr="006160A2" w:rsidRDefault="009C6D65" w:rsidP="00E21E74">
      <w:pPr>
        <w:numPr>
          <w:ilvl w:val="0"/>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-47625</wp:posOffset>
            </wp:positionH>
            <wp:positionV relativeFrom="page">
              <wp:posOffset>-411480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6160A2" w:rsidRPr="006E7998">
        <w:rPr>
          <w:rFonts w:ascii="Times New Roman" w:eastAsia="Times New Roman" w:hAnsi="Times New Roman" w:cs="Times New Roman"/>
          <w:b/>
          <w:bCs/>
          <w:sz w:val="24"/>
          <w:szCs w:val="24"/>
        </w:rPr>
        <w:t>Europe Dental Devices Market Outlook</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Overview</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Market Dynamics</w:t>
      </w:r>
    </w:p>
    <w:p w:rsidR="006160A2" w:rsidRPr="006160A2" w:rsidRDefault="006160A2" w:rsidP="00E21E74">
      <w:pPr>
        <w:numPr>
          <w:ilvl w:val="2"/>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Drivers</w:t>
      </w:r>
    </w:p>
    <w:p w:rsidR="006160A2" w:rsidRPr="006160A2" w:rsidRDefault="006160A2" w:rsidP="00E21E74">
      <w:pPr>
        <w:numPr>
          <w:ilvl w:val="2"/>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Restraints</w:t>
      </w:r>
    </w:p>
    <w:p w:rsidR="006160A2" w:rsidRPr="006160A2" w:rsidRDefault="006160A2" w:rsidP="00E21E74">
      <w:pPr>
        <w:numPr>
          <w:ilvl w:val="2"/>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Opportunities</w:t>
      </w:r>
    </w:p>
    <w:p w:rsidR="006160A2" w:rsidRPr="006160A2" w:rsidRDefault="006160A2" w:rsidP="00E21E74">
      <w:pPr>
        <w:numPr>
          <w:ilvl w:val="2"/>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Trends</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lastRenderedPageBreak/>
        <w:t>Porter's Five Forces Analysis</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Value Chain Analysis</w:t>
      </w:r>
    </w:p>
    <w:p w:rsidR="006160A2" w:rsidRPr="006160A2" w:rsidRDefault="006160A2" w:rsidP="00E21E74">
      <w:pPr>
        <w:numPr>
          <w:ilvl w:val="0"/>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Europe Dental Devices Market, By Product Type</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General and Diagnostic Equipment</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Dental Consumables</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Other Dental Devices</w:t>
      </w:r>
    </w:p>
    <w:p w:rsidR="006160A2" w:rsidRPr="006160A2" w:rsidRDefault="006160A2" w:rsidP="00E21E74">
      <w:pPr>
        <w:numPr>
          <w:ilvl w:val="0"/>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Europe Dental Devices Market, By Treatment</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Orthodontic</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Endodontic</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proofErr w:type="spellStart"/>
      <w:r w:rsidRPr="006160A2">
        <w:rPr>
          <w:rFonts w:ascii="Times New Roman" w:eastAsia="Times New Roman" w:hAnsi="Times New Roman" w:cs="Times New Roman"/>
          <w:sz w:val="24"/>
          <w:szCs w:val="24"/>
        </w:rPr>
        <w:t>Periodontic</w:t>
      </w:r>
      <w:proofErr w:type="spellEnd"/>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Prosthodontic</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Preventive and Restorative</w:t>
      </w:r>
    </w:p>
    <w:p w:rsidR="006160A2" w:rsidRPr="006160A2" w:rsidRDefault="006160A2" w:rsidP="00E21E74">
      <w:pPr>
        <w:numPr>
          <w:ilvl w:val="0"/>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Europe Dental Devices Market, By End-user</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Hospitals</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Dental Clinics</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Research &amp; Academic Institutes</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Dental Laboratories</w:t>
      </w:r>
    </w:p>
    <w:p w:rsidR="006160A2" w:rsidRPr="006160A2" w:rsidRDefault="006160A2" w:rsidP="00E21E74">
      <w:pPr>
        <w:numPr>
          <w:ilvl w:val="0"/>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Europe Dental Devices Market, By Country</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Germany</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United Kingdom</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France</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Italy</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Spain</w:t>
      </w:r>
    </w:p>
    <w:p w:rsidR="006160A2" w:rsidRPr="006160A2" w:rsidRDefault="006160A2" w:rsidP="00E21E74">
      <w:pPr>
        <w:numPr>
          <w:ilvl w:val="1"/>
          <w:numId w:val="18"/>
        </w:numPr>
        <w:tabs>
          <w:tab w:val="num" w:pos="284"/>
        </w:tabs>
        <w:spacing w:before="100" w:beforeAutospacing="1" w:after="100" w:afterAutospacing="1" w:line="360" w:lineRule="auto"/>
        <w:ind w:left="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Rest of Europe</w:t>
      </w:r>
    </w:p>
    <w:p w:rsidR="006160A2" w:rsidRPr="006160A2" w:rsidRDefault="009C6D65" w:rsidP="00E21E74">
      <w:pPr>
        <w:numPr>
          <w:ilvl w:val="0"/>
          <w:numId w:val="18"/>
        </w:numPr>
        <w:tabs>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-53340</wp:posOffset>
            </wp:positionH>
            <wp:positionV relativeFrom="page">
              <wp:posOffset>-312420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6160A2" w:rsidRPr="006E7998">
        <w:rPr>
          <w:rFonts w:ascii="Times New Roman" w:eastAsia="Times New Roman" w:hAnsi="Times New Roman" w:cs="Times New Roman"/>
          <w:b/>
          <w:bCs/>
          <w:sz w:val="24"/>
          <w:szCs w:val="24"/>
        </w:rPr>
        <w:t>Europe Dental Devices Market Competitive Landscape</w:t>
      </w:r>
    </w:p>
    <w:p w:rsidR="006160A2" w:rsidRPr="006160A2" w:rsidRDefault="006160A2" w:rsidP="00E21E74">
      <w:pPr>
        <w:numPr>
          <w:ilvl w:val="1"/>
          <w:numId w:val="18"/>
        </w:numPr>
        <w:tabs>
          <w:tab w:val="num" w:pos="-142"/>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Company Market Share</w:t>
      </w:r>
    </w:p>
    <w:p w:rsidR="006160A2" w:rsidRPr="006160A2" w:rsidRDefault="006160A2" w:rsidP="00E21E74">
      <w:pPr>
        <w:numPr>
          <w:ilvl w:val="1"/>
          <w:numId w:val="18"/>
        </w:numPr>
        <w:tabs>
          <w:tab w:val="num" w:pos="-142"/>
          <w:tab w:val="num" w:pos="284"/>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Key Development Strategies</w:t>
      </w:r>
    </w:p>
    <w:p w:rsidR="006160A2" w:rsidRPr="009B18F9" w:rsidRDefault="006160A2" w:rsidP="00E21E74">
      <w:pPr>
        <w:numPr>
          <w:ilvl w:val="0"/>
          <w:numId w:val="18"/>
        </w:numPr>
        <w:tabs>
          <w:tab w:val="num" w:pos="284"/>
          <w:tab w:val="num" w:pos="426"/>
        </w:tabs>
        <w:spacing w:before="100" w:beforeAutospacing="1" w:after="100" w:afterAutospacing="1" w:line="360" w:lineRule="auto"/>
        <w:ind w:left="284" w:firstLine="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Company Profiles</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10.1 </w:t>
      </w:r>
      <w:proofErr w:type="spellStart"/>
      <w:r w:rsidRPr="009B18F9">
        <w:rPr>
          <w:rFonts w:ascii="Times New Roman" w:eastAsia="Times New Roman" w:hAnsi="Times New Roman" w:cs="Times New Roman"/>
          <w:b/>
          <w:bCs/>
          <w:sz w:val="24"/>
          <w:szCs w:val="24"/>
        </w:rPr>
        <w:t>Straumann</w:t>
      </w:r>
      <w:proofErr w:type="spellEnd"/>
      <w:r w:rsidRPr="009B18F9">
        <w:rPr>
          <w:rFonts w:ascii="Times New Roman" w:eastAsia="Times New Roman" w:hAnsi="Times New Roman" w:cs="Times New Roman"/>
          <w:b/>
          <w:bCs/>
          <w:sz w:val="24"/>
          <w:szCs w:val="24"/>
        </w:rPr>
        <w:t xml:space="preserve"> Group</w:t>
      </w:r>
      <w:r w:rsidRPr="009B18F9">
        <w:rPr>
          <w:rFonts w:ascii="Times New Roman" w:eastAsia="Times New Roman" w:hAnsi="Times New Roman" w:cs="Times New Roman"/>
          <w:sz w:val="24"/>
          <w:szCs w:val="24"/>
        </w:rPr>
        <w:br/>
        <w:t>10.1.1 Overview</w:t>
      </w:r>
      <w:r w:rsidRPr="009B18F9">
        <w:t> </w:t>
      </w:r>
      <w:r w:rsidRPr="009B18F9">
        <w:rPr>
          <w:rFonts w:ascii="Times New Roman" w:eastAsia="Times New Roman" w:hAnsi="Times New Roman" w:cs="Times New Roman"/>
          <w:sz w:val="24"/>
          <w:szCs w:val="24"/>
        </w:rPr>
        <w:br/>
      </w:r>
      <w:r w:rsidRPr="009B18F9">
        <w:rPr>
          <w:rFonts w:ascii="Times New Roman" w:eastAsia="Times New Roman" w:hAnsi="Times New Roman" w:cs="Times New Roman"/>
          <w:sz w:val="24"/>
          <w:szCs w:val="24"/>
        </w:rPr>
        <w:lastRenderedPageBreak/>
        <w:t>10.1.2 Financial Performance</w:t>
      </w:r>
      <w:r w:rsidRPr="009B18F9">
        <w:t> </w:t>
      </w:r>
      <w:r w:rsidRPr="009B18F9">
        <w:rPr>
          <w:rFonts w:ascii="Times New Roman" w:eastAsia="Times New Roman" w:hAnsi="Times New Roman" w:cs="Times New Roman"/>
          <w:sz w:val="24"/>
          <w:szCs w:val="24"/>
        </w:rPr>
        <w:br/>
        <w:t>10.1.3 Product Outlook</w:t>
      </w:r>
      <w:r w:rsidRPr="009B18F9">
        <w:t> </w:t>
      </w:r>
      <w:r w:rsidRPr="009B18F9">
        <w:rPr>
          <w:rFonts w:ascii="Times New Roman" w:eastAsia="Times New Roman" w:hAnsi="Times New Roman" w:cs="Times New Roman"/>
          <w:sz w:val="24"/>
          <w:szCs w:val="24"/>
        </w:rPr>
        <w:br/>
        <w:t>10.1.4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10.2 </w:t>
      </w:r>
      <w:proofErr w:type="spellStart"/>
      <w:r w:rsidRPr="009B18F9">
        <w:rPr>
          <w:rFonts w:ascii="Times New Roman" w:eastAsia="Times New Roman" w:hAnsi="Times New Roman" w:cs="Times New Roman"/>
          <w:b/>
          <w:bCs/>
          <w:sz w:val="24"/>
          <w:szCs w:val="24"/>
        </w:rPr>
        <w:t>Dentsply</w:t>
      </w:r>
      <w:proofErr w:type="spellEnd"/>
      <w:r w:rsidRPr="009B18F9">
        <w:rPr>
          <w:rFonts w:ascii="Times New Roman" w:eastAsia="Times New Roman" w:hAnsi="Times New Roman" w:cs="Times New Roman"/>
          <w:b/>
          <w:bCs/>
          <w:sz w:val="24"/>
          <w:szCs w:val="24"/>
        </w:rPr>
        <w:t xml:space="preserve"> Sirona</w:t>
      </w:r>
      <w:r w:rsidRPr="009B18F9">
        <w:rPr>
          <w:rFonts w:ascii="Times New Roman" w:eastAsia="Times New Roman" w:hAnsi="Times New Roman" w:cs="Times New Roman"/>
          <w:sz w:val="24"/>
          <w:szCs w:val="24"/>
        </w:rPr>
        <w:br/>
        <w:t>10.2.1 Overview</w:t>
      </w:r>
      <w:r w:rsidRPr="009B18F9">
        <w:t> </w:t>
      </w:r>
      <w:r w:rsidRPr="009B18F9">
        <w:rPr>
          <w:rFonts w:ascii="Times New Roman" w:eastAsia="Times New Roman" w:hAnsi="Times New Roman" w:cs="Times New Roman"/>
          <w:sz w:val="24"/>
          <w:szCs w:val="24"/>
        </w:rPr>
        <w:br/>
        <w:t>10.2.2 Financial Performance</w:t>
      </w:r>
      <w:r w:rsidRPr="009B18F9">
        <w:t> </w:t>
      </w:r>
      <w:r w:rsidRPr="009B18F9">
        <w:rPr>
          <w:rFonts w:ascii="Times New Roman" w:eastAsia="Times New Roman" w:hAnsi="Times New Roman" w:cs="Times New Roman"/>
          <w:sz w:val="24"/>
          <w:szCs w:val="24"/>
        </w:rPr>
        <w:br/>
        <w:t>10.2.3 Product Outlook</w:t>
      </w:r>
      <w:r w:rsidRPr="009B18F9">
        <w:t> </w:t>
      </w:r>
      <w:r w:rsidRPr="009B18F9">
        <w:rPr>
          <w:rFonts w:ascii="Times New Roman" w:eastAsia="Times New Roman" w:hAnsi="Times New Roman" w:cs="Times New Roman"/>
          <w:sz w:val="24"/>
          <w:szCs w:val="24"/>
        </w:rPr>
        <w:br/>
        <w:t>10.2.4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10.3 </w:t>
      </w:r>
      <w:proofErr w:type="spellStart"/>
      <w:r w:rsidRPr="009B18F9">
        <w:rPr>
          <w:rFonts w:ascii="Times New Roman" w:eastAsia="Times New Roman" w:hAnsi="Times New Roman" w:cs="Times New Roman"/>
          <w:b/>
          <w:bCs/>
          <w:sz w:val="24"/>
          <w:szCs w:val="24"/>
        </w:rPr>
        <w:t>Planmeca</w:t>
      </w:r>
      <w:proofErr w:type="spellEnd"/>
      <w:r w:rsidRPr="009B18F9">
        <w:rPr>
          <w:rFonts w:ascii="Times New Roman" w:eastAsia="Times New Roman" w:hAnsi="Times New Roman" w:cs="Times New Roman"/>
          <w:b/>
          <w:bCs/>
          <w:sz w:val="24"/>
          <w:szCs w:val="24"/>
        </w:rPr>
        <w:t xml:space="preserve"> Oy</w:t>
      </w:r>
      <w:r w:rsidRPr="009B18F9">
        <w:rPr>
          <w:rFonts w:ascii="Times New Roman" w:eastAsia="Times New Roman" w:hAnsi="Times New Roman" w:cs="Times New Roman"/>
          <w:sz w:val="24"/>
          <w:szCs w:val="24"/>
        </w:rPr>
        <w:br/>
        <w:t>10.3.1 Overview</w:t>
      </w:r>
      <w:r w:rsidRPr="009B18F9">
        <w:t> </w:t>
      </w:r>
      <w:r w:rsidRPr="009B18F9">
        <w:rPr>
          <w:rFonts w:ascii="Times New Roman" w:eastAsia="Times New Roman" w:hAnsi="Times New Roman" w:cs="Times New Roman"/>
          <w:sz w:val="24"/>
          <w:szCs w:val="24"/>
        </w:rPr>
        <w:br/>
        <w:t>10.3.2 Financial Performance</w:t>
      </w:r>
      <w:r w:rsidRPr="009B18F9">
        <w:t> </w:t>
      </w:r>
      <w:r w:rsidRPr="009B18F9">
        <w:rPr>
          <w:rFonts w:ascii="Times New Roman" w:eastAsia="Times New Roman" w:hAnsi="Times New Roman" w:cs="Times New Roman"/>
          <w:sz w:val="24"/>
          <w:szCs w:val="24"/>
        </w:rPr>
        <w:br/>
        <w:t>10.3.3 Product Outlook</w:t>
      </w:r>
      <w:r w:rsidRPr="009B18F9">
        <w:t> </w:t>
      </w:r>
      <w:r w:rsidRPr="009B18F9">
        <w:rPr>
          <w:rFonts w:ascii="Times New Roman" w:eastAsia="Times New Roman" w:hAnsi="Times New Roman" w:cs="Times New Roman"/>
          <w:sz w:val="24"/>
          <w:szCs w:val="24"/>
        </w:rPr>
        <w:br/>
        <w:t>10.3.4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81792" behindDoc="1" locked="0" layoutInCell="1" allowOverlap="1">
            <wp:simplePos x="0" y="0"/>
            <wp:positionH relativeFrom="page">
              <wp:posOffset>-64770</wp:posOffset>
            </wp:positionH>
            <wp:positionV relativeFrom="page">
              <wp:posOffset>-160020</wp:posOffset>
            </wp:positionV>
            <wp:extent cx="10222230" cy="14455140"/>
            <wp:effectExtent l="19050" t="0" r="7620" b="0"/>
            <wp:wrapNone/>
            <wp:docPr id="2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9B18F9">
        <w:rPr>
          <w:rFonts w:ascii="Times New Roman" w:eastAsia="Times New Roman" w:hAnsi="Times New Roman" w:cs="Times New Roman"/>
          <w:sz w:val="24"/>
          <w:szCs w:val="24"/>
        </w:rPr>
        <w:t xml:space="preserve">10.4 </w:t>
      </w:r>
      <w:proofErr w:type="spellStart"/>
      <w:r w:rsidRPr="009B18F9">
        <w:rPr>
          <w:rFonts w:ascii="Times New Roman" w:eastAsia="Times New Roman" w:hAnsi="Times New Roman" w:cs="Times New Roman"/>
          <w:b/>
          <w:bCs/>
          <w:sz w:val="24"/>
          <w:szCs w:val="24"/>
        </w:rPr>
        <w:t>KaVo</w:t>
      </w:r>
      <w:proofErr w:type="spellEnd"/>
      <w:r w:rsidRPr="009B18F9">
        <w:rPr>
          <w:rFonts w:ascii="Times New Roman" w:eastAsia="Times New Roman" w:hAnsi="Times New Roman" w:cs="Times New Roman"/>
          <w:b/>
          <w:bCs/>
          <w:sz w:val="24"/>
          <w:szCs w:val="24"/>
        </w:rPr>
        <w:t xml:space="preserve"> Dental</w:t>
      </w:r>
      <w:r w:rsidRPr="009B18F9">
        <w:rPr>
          <w:rFonts w:ascii="Times New Roman" w:eastAsia="Times New Roman" w:hAnsi="Times New Roman" w:cs="Times New Roman"/>
          <w:sz w:val="24"/>
          <w:szCs w:val="24"/>
        </w:rPr>
        <w:br/>
        <w:t>10.4.1 Overview</w:t>
      </w:r>
      <w:r w:rsidRPr="009B18F9">
        <w:t> </w:t>
      </w:r>
      <w:r w:rsidRPr="009B18F9">
        <w:rPr>
          <w:rFonts w:ascii="Times New Roman" w:eastAsia="Times New Roman" w:hAnsi="Times New Roman" w:cs="Times New Roman"/>
          <w:sz w:val="24"/>
          <w:szCs w:val="24"/>
        </w:rPr>
        <w:br/>
        <w:t>10.4.2 Financial Performance</w:t>
      </w:r>
      <w:r w:rsidRPr="009B18F9">
        <w:t> </w:t>
      </w:r>
      <w:r w:rsidRPr="009B18F9">
        <w:rPr>
          <w:rFonts w:ascii="Times New Roman" w:eastAsia="Times New Roman" w:hAnsi="Times New Roman" w:cs="Times New Roman"/>
          <w:sz w:val="24"/>
          <w:szCs w:val="24"/>
        </w:rPr>
        <w:br/>
        <w:t>10.4.3 Product Outlook</w:t>
      </w:r>
      <w:r w:rsidRPr="009B18F9">
        <w:t> </w:t>
      </w:r>
      <w:r w:rsidRPr="009B18F9">
        <w:rPr>
          <w:rFonts w:ascii="Times New Roman" w:eastAsia="Times New Roman" w:hAnsi="Times New Roman" w:cs="Times New Roman"/>
          <w:sz w:val="24"/>
          <w:szCs w:val="24"/>
        </w:rPr>
        <w:br/>
        <w:t>10.4.4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10.5 </w:t>
      </w:r>
      <w:r w:rsidRPr="009B18F9">
        <w:rPr>
          <w:rFonts w:ascii="Times New Roman" w:eastAsia="Times New Roman" w:hAnsi="Times New Roman" w:cs="Times New Roman"/>
          <w:b/>
          <w:bCs/>
          <w:sz w:val="24"/>
          <w:szCs w:val="24"/>
        </w:rPr>
        <w:t xml:space="preserve">W&amp;H </w:t>
      </w:r>
      <w:proofErr w:type="spellStart"/>
      <w:r w:rsidRPr="009B18F9">
        <w:rPr>
          <w:rFonts w:ascii="Times New Roman" w:eastAsia="Times New Roman" w:hAnsi="Times New Roman" w:cs="Times New Roman"/>
          <w:b/>
          <w:bCs/>
          <w:sz w:val="24"/>
          <w:szCs w:val="24"/>
        </w:rPr>
        <w:t>Dentalwerk</w:t>
      </w:r>
      <w:proofErr w:type="spellEnd"/>
      <w:r w:rsidRPr="009B18F9">
        <w:rPr>
          <w:rFonts w:ascii="Times New Roman" w:eastAsia="Times New Roman" w:hAnsi="Times New Roman" w:cs="Times New Roman"/>
          <w:sz w:val="24"/>
          <w:szCs w:val="24"/>
        </w:rPr>
        <w:br/>
        <w:t>10.5.1 Overview</w:t>
      </w:r>
      <w:r w:rsidRPr="009B18F9">
        <w:t> </w:t>
      </w:r>
      <w:r w:rsidRPr="009B18F9">
        <w:rPr>
          <w:rFonts w:ascii="Times New Roman" w:eastAsia="Times New Roman" w:hAnsi="Times New Roman" w:cs="Times New Roman"/>
          <w:sz w:val="24"/>
          <w:szCs w:val="24"/>
        </w:rPr>
        <w:br/>
        <w:t>10.5.2 Financial Performance</w:t>
      </w:r>
      <w:r w:rsidRPr="009B18F9">
        <w:t> </w:t>
      </w:r>
      <w:r w:rsidRPr="009B18F9">
        <w:rPr>
          <w:rFonts w:ascii="Times New Roman" w:eastAsia="Times New Roman" w:hAnsi="Times New Roman" w:cs="Times New Roman"/>
          <w:sz w:val="24"/>
          <w:szCs w:val="24"/>
        </w:rPr>
        <w:br/>
        <w:t>10.5.3 Product Outlook</w:t>
      </w:r>
      <w:r w:rsidRPr="009B18F9">
        <w:t> </w:t>
      </w:r>
      <w:r w:rsidRPr="009B18F9">
        <w:rPr>
          <w:rFonts w:ascii="Times New Roman" w:eastAsia="Times New Roman" w:hAnsi="Times New Roman" w:cs="Times New Roman"/>
          <w:sz w:val="24"/>
          <w:szCs w:val="24"/>
        </w:rPr>
        <w:br/>
        <w:t>10.5.4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10.6 </w:t>
      </w:r>
      <w:proofErr w:type="spellStart"/>
      <w:r w:rsidRPr="009B18F9">
        <w:rPr>
          <w:rFonts w:ascii="Times New Roman" w:eastAsia="Times New Roman" w:hAnsi="Times New Roman" w:cs="Times New Roman"/>
          <w:b/>
          <w:bCs/>
          <w:sz w:val="24"/>
          <w:szCs w:val="24"/>
        </w:rPr>
        <w:t>Dürr</w:t>
      </w:r>
      <w:proofErr w:type="spellEnd"/>
      <w:r w:rsidRPr="009B18F9">
        <w:rPr>
          <w:rFonts w:ascii="Times New Roman" w:eastAsia="Times New Roman" w:hAnsi="Times New Roman" w:cs="Times New Roman"/>
          <w:b/>
          <w:bCs/>
          <w:sz w:val="24"/>
          <w:szCs w:val="24"/>
        </w:rPr>
        <w:t xml:space="preserve"> Dental</w:t>
      </w:r>
      <w:r w:rsidRPr="009B18F9">
        <w:rPr>
          <w:rFonts w:ascii="Times New Roman" w:eastAsia="Times New Roman" w:hAnsi="Times New Roman" w:cs="Times New Roman"/>
          <w:sz w:val="24"/>
          <w:szCs w:val="24"/>
        </w:rPr>
        <w:br/>
        <w:t>10.6.1 Overview</w:t>
      </w:r>
      <w:r w:rsidRPr="009B18F9">
        <w:t> </w:t>
      </w:r>
      <w:r w:rsidRPr="009B18F9">
        <w:rPr>
          <w:rFonts w:ascii="Times New Roman" w:eastAsia="Times New Roman" w:hAnsi="Times New Roman" w:cs="Times New Roman"/>
          <w:sz w:val="24"/>
          <w:szCs w:val="24"/>
        </w:rPr>
        <w:br/>
        <w:t>10.6.2 Financial Performance</w:t>
      </w:r>
      <w:r w:rsidRPr="009B18F9">
        <w:t> </w:t>
      </w:r>
      <w:r w:rsidRPr="009B18F9">
        <w:rPr>
          <w:rFonts w:ascii="Times New Roman" w:eastAsia="Times New Roman" w:hAnsi="Times New Roman" w:cs="Times New Roman"/>
          <w:sz w:val="24"/>
          <w:szCs w:val="24"/>
        </w:rPr>
        <w:br/>
        <w:t>10.6.3 Product Outlook</w:t>
      </w:r>
      <w:r w:rsidRPr="009B18F9">
        <w:t> </w:t>
      </w:r>
      <w:r w:rsidRPr="009B18F9">
        <w:rPr>
          <w:rFonts w:ascii="Times New Roman" w:eastAsia="Times New Roman" w:hAnsi="Times New Roman" w:cs="Times New Roman"/>
          <w:sz w:val="24"/>
          <w:szCs w:val="24"/>
        </w:rPr>
        <w:br/>
        <w:t>10.6.4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10.7 </w:t>
      </w:r>
      <w:proofErr w:type="spellStart"/>
      <w:r w:rsidRPr="009B18F9">
        <w:rPr>
          <w:rFonts w:ascii="Times New Roman" w:eastAsia="Times New Roman" w:hAnsi="Times New Roman" w:cs="Times New Roman"/>
          <w:b/>
          <w:bCs/>
          <w:sz w:val="24"/>
          <w:szCs w:val="24"/>
        </w:rPr>
        <w:t>Ivoclar</w:t>
      </w:r>
      <w:proofErr w:type="spellEnd"/>
      <w:r w:rsidRPr="009B18F9">
        <w:rPr>
          <w:rFonts w:ascii="Times New Roman" w:eastAsia="Times New Roman" w:hAnsi="Times New Roman" w:cs="Times New Roman"/>
          <w:sz w:val="24"/>
          <w:szCs w:val="24"/>
        </w:rPr>
        <w:br/>
        <w:t>10.7.1 Overview</w:t>
      </w:r>
      <w:r w:rsidRPr="009B18F9">
        <w:t> </w:t>
      </w:r>
      <w:r w:rsidRPr="009B18F9">
        <w:rPr>
          <w:rFonts w:ascii="Times New Roman" w:eastAsia="Times New Roman" w:hAnsi="Times New Roman" w:cs="Times New Roman"/>
          <w:sz w:val="24"/>
          <w:szCs w:val="24"/>
        </w:rPr>
        <w:br/>
        <w:t>10.7.2 Financial Performance</w:t>
      </w:r>
      <w:r w:rsidRPr="009B18F9">
        <w:t> </w:t>
      </w:r>
      <w:r w:rsidRPr="009B18F9">
        <w:rPr>
          <w:rFonts w:ascii="Times New Roman" w:eastAsia="Times New Roman" w:hAnsi="Times New Roman" w:cs="Times New Roman"/>
          <w:sz w:val="24"/>
          <w:szCs w:val="24"/>
        </w:rPr>
        <w:br/>
      </w:r>
      <w:r w:rsidRPr="009B18F9">
        <w:rPr>
          <w:rFonts w:ascii="Times New Roman" w:eastAsia="Times New Roman" w:hAnsi="Times New Roman" w:cs="Times New Roman"/>
          <w:sz w:val="24"/>
          <w:szCs w:val="24"/>
        </w:rPr>
        <w:lastRenderedPageBreak/>
        <w:t>10.7.3 Product Outlook</w:t>
      </w:r>
      <w:r w:rsidRPr="009B18F9">
        <w:t> </w:t>
      </w:r>
      <w:r w:rsidRPr="009B18F9">
        <w:rPr>
          <w:rFonts w:ascii="Times New Roman" w:eastAsia="Times New Roman" w:hAnsi="Times New Roman" w:cs="Times New Roman"/>
          <w:sz w:val="24"/>
          <w:szCs w:val="24"/>
        </w:rPr>
        <w:br/>
        <w:t>10.7.4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10.8 </w:t>
      </w:r>
      <w:r w:rsidRPr="009B18F9">
        <w:rPr>
          <w:rFonts w:ascii="Times New Roman" w:eastAsia="Times New Roman" w:hAnsi="Times New Roman" w:cs="Times New Roman"/>
          <w:b/>
          <w:bCs/>
          <w:sz w:val="24"/>
          <w:szCs w:val="24"/>
        </w:rPr>
        <w:t>3M Oral Care</w:t>
      </w:r>
      <w:r w:rsidRPr="009B18F9">
        <w:rPr>
          <w:rFonts w:ascii="Times New Roman" w:eastAsia="Times New Roman" w:hAnsi="Times New Roman" w:cs="Times New Roman"/>
          <w:sz w:val="24"/>
          <w:szCs w:val="24"/>
        </w:rPr>
        <w:br/>
        <w:t>10.8.1 Overview</w:t>
      </w:r>
      <w:r w:rsidRPr="009B18F9">
        <w:t> </w:t>
      </w:r>
      <w:r w:rsidRPr="009B18F9">
        <w:rPr>
          <w:rFonts w:ascii="Times New Roman" w:eastAsia="Times New Roman" w:hAnsi="Times New Roman" w:cs="Times New Roman"/>
          <w:sz w:val="24"/>
          <w:szCs w:val="24"/>
        </w:rPr>
        <w:br/>
        <w:t>10.8.2 Financial Performance</w:t>
      </w:r>
      <w:r w:rsidRPr="009B18F9">
        <w:t> </w:t>
      </w:r>
      <w:r w:rsidRPr="009B18F9">
        <w:rPr>
          <w:rFonts w:ascii="Times New Roman" w:eastAsia="Times New Roman" w:hAnsi="Times New Roman" w:cs="Times New Roman"/>
          <w:sz w:val="24"/>
          <w:szCs w:val="24"/>
        </w:rPr>
        <w:br/>
        <w:t>10.8.3 Product Outlook</w:t>
      </w:r>
      <w:r w:rsidRPr="009B18F9">
        <w:t> </w:t>
      </w:r>
      <w:r w:rsidRPr="009B18F9">
        <w:rPr>
          <w:rFonts w:ascii="Times New Roman" w:eastAsia="Times New Roman" w:hAnsi="Times New Roman" w:cs="Times New Roman"/>
          <w:sz w:val="24"/>
          <w:szCs w:val="24"/>
        </w:rPr>
        <w:br/>
        <w:t>10.8.4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10.9 </w:t>
      </w:r>
      <w:r w:rsidRPr="009B18F9">
        <w:rPr>
          <w:rFonts w:ascii="Times New Roman" w:eastAsia="Times New Roman" w:hAnsi="Times New Roman" w:cs="Times New Roman"/>
          <w:b/>
          <w:bCs/>
          <w:sz w:val="24"/>
          <w:szCs w:val="24"/>
        </w:rPr>
        <w:t>GC Corporation</w:t>
      </w:r>
      <w:r w:rsidRPr="009B18F9">
        <w:rPr>
          <w:rFonts w:ascii="Times New Roman" w:eastAsia="Times New Roman" w:hAnsi="Times New Roman" w:cs="Times New Roman"/>
          <w:sz w:val="24"/>
          <w:szCs w:val="24"/>
        </w:rPr>
        <w:br/>
        <w:t>10.9.1 Overview</w:t>
      </w:r>
      <w:r w:rsidRPr="009B18F9">
        <w:t> </w:t>
      </w:r>
      <w:r w:rsidRPr="009B18F9">
        <w:rPr>
          <w:rFonts w:ascii="Times New Roman" w:eastAsia="Times New Roman" w:hAnsi="Times New Roman" w:cs="Times New Roman"/>
          <w:sz w:val="24"/>
          <w:szCs w:val="24"/>
        </w:rPr>
        <w:br/>
        <w:t>10.9.2 Financial Performance</w:t>
      </w:r>
      <w:r w:rsidRPr="009B18F9">
        <w:t> </w:t>
      </w:r>
      <w:r w:rsidRPr="009B18F9">
        <w:rPr>
          <w:rFonts w:ascii="Times New Roman" w:eastAsia="Times New Roman" w:hAnsi="Times New Roman" w:cs="Times New Roman"/>
          <w:sz w:val="24"/>
          <w:szCs w:val="24"/>
        </w:rPr>
        <w:br/>
        <w:t>10.9.3 Product Outlook</w:t>
      </w:r>
      <w:r w:rsidRPr="009B18F9">
        <w:t> </w:t>
      </w:r>
      <w:r w:rsidRPr="009B18F9">
        <w:rPr>
          <w:rFonts w:ascii="Times New Roman" w:eastAsia="Times New Roman" w:hAnsi="Times New Roman" w:cs="Times New Roman"/>
          <w:sz w:val="24"/>
          <w:szCs w:val="24"/>
        </w:rPr>
        <w:br/>
        <w:t>10.9.4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83840" behindDoc="1" locked="0" layoutInCell="1" allowOverlap="1">
            <wp:simplePos x="0" y="0"/>
            <wp:positionH relativeFrom="page">
              <wp:posOffset>-148590</wp:posOffset>
            </wp:positionH>
            <wp:positionV relativeFrom="page">
              <wp:posOffset>-160020</wp:posOffset>
            </wp:positionV>
            <wp:extent cx="10222230" cy="1445514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9B18F9">
        <w:rPr>
          <w:rFonts w:ascii="Times New Roman" w:eastAsia="Times New Roman" w:hAnsi="Times New Roman" w:cs="Times New Roman"/>
          <w:sz w:val="24"/>
          <w:szCs w:val="24"/>
        </w:rPr>
        <w:t xml:space="preserve">10.10 </w:t>
      </w:r>
      <w:r w:rsidRPr="009B18F9">
        <w:rPr>
          <w:rFonts w:ascii="Times New Roman" w:eastAsia="Times New Roman" w:hAnsi="Times New Roman" w:cs="Times New Roman"/>
          <w:b/>
          <w:bCs/>
          <w:sz w:val="24"/>
          <w:szCs w:val="24"/>
        </w:rPr>
        <w:t xml:space="preserve">Nobel </w:t>
      </w:r>
      <w:proofErr w:type="spellStart"/>
      <w:r w:rsidRPr="009B18F9">
        <w:rPr>
          <w:rFonts w:ascii="Times New Roman" w:eastAsia="Times New Roman" w:hAnsi="Times New Roman" w:cs="Times New Roman"/>
          <w:b/>
          <w:bCs/>
          <w:sz w:val="24"/>
          <w:szCs w:val="24"/>
        </w:rPr>
        <w:t>Biocare</w:t>
      </w:r>
      <w:proofErr w:type="spellEnd"/>
      <w:r w:rsidRPr="009B18F9">
        <w:rPr>
          <w:rFonts w:ascii="Times New Roman" w:eastAsia="Times New Roman" w:hAnsi="Times New Roman" w:cs="Times New Roman"/>
          <w:sz w:val="24"/>
          <w:szCs w:val="24"/>
        </w:rPr>
        <w:br/>
        <w:t>10.10.1 Overview</w:t>
      </w:r>
      <w:r w:rsidRPr="009B18F9">
        <w:t> </w:t>
      </w:r>
      <w:r w:rsidRPr="009B18F9">
        <w:rPr>
          <w:rFonts w:ascii="Times New Roman" w:eastAsia="Times New Roman" w:hAnsi="Times New Roman" w:cs="Times New Roman"/>
          <w:sz w:val="24"/>
          <w:szCs w:val="24"/>
        </w:rPr>
        <w:br/>
        <w:t>10.10.2 Financial Performance</w:t>
      </w:r>
      <w:r w:rsidRPr="009B18F9">
        <w:t> </w:t>
      </w:r>
      <w:r w:rsidRPr="009B18F9">
        <w:rPr>
          <w:rFonts w:ascii="Times New Roman" w:eastAsia="Times New Roman" w:hAnsi="Times New Roman" w:cs="Times New Roman"/>
          <w:sz w:val="24"/>
          <w:szCs w:val="24"/>
        </w:rPr>
        <w:br/>
        <w:t>10.10.3 Product Outlook</w:t>
      </w:r>
      <w:r w:rsidRPr="009B18F9">
        <w:t> </w:t>
      </w:r>
      <w:r w:rsidRPr="009B18F9">
        <w:rPr>
          <w:rFonts w:ascii="Times New Roman" w:eastAsia="Times New Roman" w:hAnsi="Times New Roman" w:cs="Times New Roman"/>
          <w:sz w:val="24"/>
          <w:szCs w:val="24"/>
        </w:rPr>
        <w:br/>
        <w:t>10.10.4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10.11 </w:t>
      </w:r>
      <w:r w:rsidRPr="009B18F9">
        <w:rPr>
          <w:rFonts w:ascii="Times New Roman" w:eastAsia="Times New Roman" w:hAnsi="Times New Roman" w:cs="Times New Roman"/>
          <w:b/>
          <w:bCs/>
          <w:sz w:val="24"/>
          <w:szCs w:val="24"/>
        </w:rPr>
        <w:t>Zimmer Biomet Dental</w:t>
      </w:r>
      <w:r w:rsidRPr="009B18F9">
        <w:rPr>
          <w:rFonts w:ascii="Times New Roman" w:eastAsia="Times New Roman" w:hAnsi="Times New Roman" w:cs="Times New Roman"/>
          <w:sz w:val="24"/>
          <w:szCs w:val="24"/>
        </w:rPr>
        <w:br/>
        <w:t>10.11.1 Overview</w:t>
      </w:r>
      <w:r w:rsidRPr="009B18F9">
        <w:t> </w:t>
      </w:r>
      <w:r w:rsidRPr="009B18F9">
        <w:rPr>
          <w:rFonts w:ascii="Times New Roman" w:eastAsia="Times New Roman" w:hAnsi="Times New Roman" w:cs="Times New Roman"/>
          <w:sz w:val="24"/>
          <w:szCs w:val="24"/>
        </w:rPr>
        <w:br/>
        <w:t>10.11.2 Financial Performance</w:t>
      </w:r>
      <w:r w:rsidRPr="009B18F9">
        <w:t> </w:t>
      </w:r>
      <w:r w:rsidRPr="009B18F9">
        <w:rPr>
          <w:rFonts w:ascii="Times New Roman" w:eastAsia="Times New Roman" w:hAnsi="Times New Roman" w:cs="Times New Roman"/>
          <w:sz w:val="24"/>
          <w:szCs w:val="24"/>
        </w:rPr>
        <w:br/>
        <w:t>10.11.3 Product Outlook</w:t>
      </w:r>
      <w:r w:rsidRPr="009B18F9">
        <w:t> </w:t>
      </w:r>
      <w:r w:rsidRPr="009B18F9">
        <w:rPr>
          <w:rFonts w:ascii="Times New Roman" w:eastAsia="Times New Roman" w:hAnsi="Times New Roman" w:cs="Times New Roman"/>
          <w:sz w:val="24"/>
          <w:szCs w:val="24"/>
        </w:rPr>
        <w:br/>
        <w:t>10.11.4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10.12 </w:t>
      </w:r>
      <w:r w:rsidRPr="009B18F9">
        <w:rPr>
          <w:rFonts w:ascii="Times New Roman" w:eastAsia="Times New Roman" w:hAnsi="Times New Roman" w:cs="Times New Roman"/>
          <w:b/>
          <w:bCs/>
          <w:sz w:val="24"/>
          <w:szCs w:val="24"/>
        </w:rPr>
        <w:t>Henry Schein Dental</w:t>
      </w:r>
      <w:r w:rsidRPr="009B18F9">
        <w:rPr>
          <w:rFonts w:ascii="Times New Roman" w:eastAsia="Times New Roman" w:hAnsi="Times New Roman" w:cs="Times New Roman"/>
          <w:sz w:val="24"/>
          <w:szCs w:val="24"/>
        </w:rPr>
        <w:br/>
        <w:t>10.12.1 Overview</w:t>
      </w:r>
      <w:r w:rsidRPr="009B18F9">
        <w:t> </w:t>
      </w:r>
      <w:r w:rsidRPr="009B18F9">
        <w:rPr>
          <w:rFonts w:ascii="Times New Roman" w:eastAsia="Times New Roman" w:hAnsi="Times New Roman" w:cs="Times New Roman"/>
          <w:sz w:val="24"/>
          <w:szCs w:val="24"/>
        </w:rPr>
        <w:br/>
        <w:t>10.12.2 Financial Performance</w:t>
      </w:r>
      <w:r w:rsidRPr="009B18F9">
        <w:t> </w:t>
      </w:r>
      <w:r w:rsidRPr="009B18F9">
        <w:rPr>
          <w:rFonts w:ascii="Times New Roman" w:eastAsia="Times New Roman" w:hAnsi="Times New Roman" w:cs="Times New Roman"/>
          <w:sz w:val="24"/>
          <w:szCs w:val="24"/>
        </w:rPr>
        <w:br/>
        <w:t>10.12.3 Product Outlook</w:t>
      </w:r>
      <w:r w:rsidRPr="009B18F9">
        <w:t> </w:t>
      </w:r>
      <w:r w:rsidRPr="009B18F9">
        <w:rPr>
          <w:rFonts w:ascii="Times New Roman" w:eastAsia="Times New Roman" w:hAnsi="Times New Roman" w:cs="Times New Roman"/>
          <w:sz w:val="24"/>
          <w:szCs w:val="24"/>
        </w:rPr>
        <w:br/>
        <w:t>10.12.4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10.13 </w:t>
      </w:r>
      <w:proofErr w:type="spellStart"/>
      <w:r w:rsidRPr="009B18F9">
        <w:rPr>
          <w:rFonts w:ascii="Times New Roman" w:eastAsia="Times New Roman" w:hAnsi="Times New Roman" w:cs="Times New Roman"/>
          <w:b/>
          <w:bCs/>
          <w:sz w:val="24"/>
          <w:szCs w:val="24"/>
        </w:rPr>
        <w:t>Septodont</w:t>
      </w:r>
      <w:proofErr w:type="spellEnd"/>
      <w:r w:rsidRPr="009B18F9">
        <w:rPr>
          <w:rFonts w:ascii="Times New Roman" w:eastAsia="Times New Roman" w:hAnsi="Times New Roman" w:cs="Times New Roman"/>
          <w:sz w:val="24"/>
          <w:szCs w:val="24"/>
        </w:rPr>
        <w:br/>
        <w:t>10.13.1 Overview</w:t>
      </w:r>
      <w:r w:rsidRPr="009B18F9">
        <w:t> </w:t>
      </w:r>
      <w:r w:rsidRPr="009B18F9">
        <w:rPr>
          <w:rFonts w:ascii="Times New Roman" w:eastAsia="Times New Roman" w:hAnsi="Times New Roman" w:cs="Times New Roman"/>
          <w:sz w:val="24"/>
          <w:szCs w:val="24"/>
        </w:rPr>
        <w:br/>
        <w:t>10.13.2 Financial Performance</w:t>
      </w:r>
      <w:r w:rsidRPr="009B18F9">
        <w:t> </w:t>
      </w:r>
      <w:r w:rsidRPr="009B18F9">
        <w:rPr>
          <w:rFonts w:ascii="Times New Roman" w:eastAsia="Times New Roman" w:hAnsi="Times New Roman" w:cs="Times New Roman"/>
          <w:sz w:val="24"/>
          <w:szCs w:val="24"/>
        </w:rPr>
        <w:br/>
      </w:r>
      <w:r w:rsidRPr="009B18F9">
        <w:rPr>
          <w:rFonts w:ascii="Times New Roman" w:eastAsia="Times New Roman" w:hAnsi="Times New Roman" w:cs="Times New Roman"/>
          <w:sz w:val="24"/>
          <w:szCs w:val="24"/>
        </w:rPr>
        <w:lastRenderedPageBreak/>
        <w:t>10.13.3 Product Outlook</w:t>
      </w:r>
      <w:r w:rsidRPr="009B18F9">
        <w:t> </w:t>
      </w:r>
      <w:r w:rsidRPr="009B18F9">
        <w:rPr>
          <w:rFonts w:ascii="Times New Roman" w:eastAsia="Times New Roman" w:hAnsi="Times New Roman" w:cs="Times New Roman"/>
          <w:sz w:val="24"/>
          <w:szCs w:val="24"/>
        </w:rPr>
        <w:br/>
        <w:t>10.13.4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10.14 </w:t>
      </w:r>
      <w:r w:rsidRPr="009B18F9">
        <w:rPr>
          <w:rFonts w:ascii="Times New Roman" w:eastAsia="Times New Roman" w:hAnsi="Times New Roman" w:cs="Times New Roman"/>
          <w:b/>
          <w:bCs/>
          <w:sz w:val="24"/>
          <w:szCs w:val="24"/>
        </w:rPr>
        <w:t>Acteon Group</w:t>
      </w:r>
      <w:r w:rsidRPr="009B18F9">
        <w:rPr>
          <w:rFonts w:ascii="Times New Roman" w:eastAsia="Times New Roman" w:hAnsi="Times New Roman" w:cs="Times New Roman"/>
          <w:sz w:val="24"/>
          <w:szCs w:val="24"/>
        </w:rPr>
        <w:br/>
        <w:t>10.14.1 Overview</w:t>
      </w:r>
      <w:r w:rsidRPr="009B18F9">
        <w:t> </w:t>
      </w:r>
      <w:r w:rsidRPr="009B18F9">
        <w:rPr>
          <w:rFonts w:ascii="Times New Roman" w:eastAsia="Times New Roman" w:hAnsi="Times New Roman" w:cs="Times New Roman"/>
          <w:sz w:val="24"/>
          <w:szCs w:val="24"/>
        </w:rPr>
        <w:br/>
        <w:t>10.14.2 Financial Performance</w:t>
      </w:r>
      <w:r w:rsidRPr="009B18F9">
        <w:t> </w:t>
      </w:r>
      <w:r w:rsidRPr="009B18F9">
        <w:rPr>
          <w:rFonts w:ascii="Times New Roman" w:eastAsia="Times New Roman" w:hAnsi="Times New Roman" w:cs="Times New Roman"/>
          <w:sz w:val="24"/>
          <w:szCs w:val="24"/>
        </w:rPr>
        <w:br/>
        <w:t>10.14.3 Product Outlook</w:t>
      </w:r>
      <w:r w:rsidRPr="009B18F9">
        <w:t> </w:t>
      </w:r>
      <w:r w:rsidRPr="009B18F9">
        <w:rPr>
          <w:rFonts w:ascii="Times New Roman" w:eastAsia="Times New Roman" w:hAnsi="Times New Roman" w:cs="Times New Roman"/>
          <w:sz w:val="24"/>
          <w:szCs w:val="24"/>
        </w:rPr>
        <w:br/>
        <w:t>10.14.4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10.15 </w:t>
      </w:r>
      <w:proofErr w:type="spellStart"/>
      <w:r w:rsidRPr="009B18F9">
        <w:rPr>
          <w:rFonts w:ascii="Times New Roman" w:eastAsia="Times New Roman" w:hAnsi="Times New Roman" w:cs="Times New Roman"/>
          <w:b/>
          <w:bCs/>
          <w:sz w:val="24"/>
          <w:szCs w:val="24"/>
        </w:rPr>
        <w:t>Vatech</w:t>
      </w:r>
      <w:proofErr w:type="spellEnd"/>
      <w:r w:rsidRPr="009B18F9">
        <w:rPr>
          <w:rFonts w:ascii="Times New Roman" w:eastAsia="Times New Roman" w:hAnsi="Times New Roman" w:cs="Times New Roman"/>
          <w:sz w:val="24"/>
          <w:szCs w:val="24"/>
        </w:rPr>
        <w:br/>
        <w:t>10.15.1 Overview</w:t>
      </w:r>
      <w:r w:rsidRPr="009B18F9">
        <w:t> </w:t>
      </w:r>
      <w:r w:rsidRPr="009B18F9">
        <w:rPr>
          <w:rFonts w:ascii="Times New Roman" w:eastAsia="Times New Roman" w:hAnsi="Times New Roman" w:cs="Times New Roman"/>
          <w:sz w:val="24"/>
          <w:szCs w:val="24"/>
        </w:rPr>
        <w:br/>
        <w:t>10.15.2 Financial Performance</w:t>
      </w:r>
      <w:r w:rsidRPr="009B18F9">
        <w:t> </w:t>
      </w:r>
      <w:r w:rsidRPr="009B18F9">
        <w:rPr>
          <w:rFonts w:ascii="Times New Roman" w:eastAsia="Times New Roman" w:hAnsi="Times New Roman" w:cs="Times New Roman"/>
          <w:sz w:val="24"/>
          <w:szCs w:val="24"/>
        </w:rPr>
        <w:br/>
        <w:t>10.15.3 Product Outlook</w:t>
      </w:r>
      <w:r w:rsidRPr="009B18F9">
        <w:t> </w:t>
      </w:r>
      <w:r w:rsidRPr="009B18F9">
        <w:rPr>
          <w:rFonts w:ascii="Times New Roman" w:eastAsia="Times New Roman" w:hAnsi="Times New Roman" w:cs="Times New Roman"/>
          <w:sz w:val="24"/>
          <w:szCs w:val="24"/>
        </w:rPr>
        <w:br/>
        <w:t>10.15.4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85888" behindDoc="1" locked="0" layoutInCell="1" allowOverlap="1">
            <wp:simplePos x="0" y="0"/>
            <wp:positionH relativeFrom="page">
              <wp:posOffset>-34290</wp:posOffset>
            </wp:positionH>
            <wp:positionV relativeFrom="page">
              <wp:posOffset>-160020</wp:posOffset>
            </wp:positionV>
            <wp:extent cx="10222230" cy="14455140"/>
            <wp:effectExtent l="19050" t="0" r="7620" b="0"/>
            <wp:wrapNone/>
            <wp:docPr id="1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9B18F9">
        <w:rPr>
          <w:rFonts w:ascii="Times New Roman" w:eastAsia="Times New Roman" w:hAnsi="Times New Roman" w:cs="Times New Roman"/>
          <w:sz w:val="24"/>
          <w:szCs w:val="24"/>
        </w:rPr>
        <w:t xml:space="preserve">10.16 </w:t>
      </w:r>
      <w:proofErr w:type="spellStart"/>
      <w:r w:rsidRPr="009B18F9">
        <w:rPr>
          <w:rFonts w:ascii="Times New Roman" w:eastAsia="Times New Roman" w:hAnsi="Times New Roman" w:cs="Times New Roman"/>
          <w:b/>
          <w:bCs/>
          <w:sz w:val="24"/>
          <w:szCs w:val="24"/>
        </w:rPr>
        <w:t>Carestream</w:t>
      </w:r>
      <w:proofErr w:type="spellEnd"/>
      <w:r w:rsidRPr="009B18F9">
        <w:rPr>
          <w:rFonts w:ascii="Times New Roman" w:eastAsia="Times New Roman" w:hAnsi="Times New Roman" w:cs="Times New Roman"/>
          <w:b/>
          <w:bCs/>
          <w:sz w:val="24"/>
          <w:szCs w:val="24"/>
        </w:rPr>
        <w:t xml:space="preserve"> Dental</w:t>
      </w:r>
      <w:r w:rsidRPr="009B18F9">
        <w:rPr>
          <w:rFonts w:ascii="Times New Roman" w:eastAsia="Times New Roman" w:hAnsi="Times New Roman" w:cs="Times New Roman"/>
          <w:sz w:val="24"/>
          <w:szCs w:val="24"/>
        </w:rPr>
        <w:br/>
        <w:t>10.16.1 Overview</w:t>
      </w:r>
      <w:r w:rsidRPr="009B18F9">
        <w:t> </w:t>
      </w:r>
      <w:r w:rsidRPr="009B18F9">
        <w:rPr>
          <w:rFonts w:ascii="Times New Roman" w:eastAsia="Times New Roman" w:hAnsi="Times New Roman" w:cs="Times New Roman"/>
          <w:sz w:val="24"/>
          <w:szCs w:val="24"/>
        </w:rPr>
        <w:br/>
        <w:t>10.16.2 Financial Performance</w:t>
      </w:r>
      <w:r w:rsidRPr="009B18F9">
        <w:t> </w:t>
      </w:r>
      <w:r w:rsidRPr="009B18F9">
        <w:rPr>
          <w:rFonts w:ascii="Times New Roman" w:eastAsia="Times New Roman" w:hAnsi="Times New Roman" w:cs="Times New Roman"/>
          <w:sz w:val="24"/>
          <w:szCs w:val="24"/>
        </w:rPr>
        <w:br/>
        <w:t>10.16.3 Product Outlook</w:t>
      </w:r>
      <w:r w:rsidRPr="009B18F9">
        <w:t> </w:t>
      </w:r>
      <w:r w:rsidRPr="009B18F9">
        <w:rPr>
          <w:rFonts w:ascii="Times New Roman" w:eastAsia="Times New Roman" w:hAnsi="Times New Roman" w:cs="Times New Roman"/>
          <w:sz w:val="24"/>
          <w:szCs w:val="24"/>
        </w:rPr>
        <w:br/>
        <w:t>10.16.4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10.17 </w:t>
      </w:r>
      <w:proofErr w:type="spellStart"/>
      <w:r w:rsidRPr="009B18F9">
        <w:rPr>
          <w:rFonts w:ascii="Times New Roman" w:eastAsia="Times New Roman" w:hAnsi="Times New Roman" w:cs="Times New Roman"/>
          <w:b/>
          <w:bCs/>
          <w:sz w:val="24"/>
          <w:szCs w:val="24"/>
        </w:rPr>
        <w:t>Coltene</w:t>
      </w:r>
      <w:proofErr w:type="spellEnd"/>
      <w:r w:rsidRPr="009B18F9">
        <w:rPr>
          <w:rFonts w:ascii="Times New Roman" w:eastAsia="Times New Roman" w:hAnsi="Times New Roman" w:cs="Times New Roman"/>
          <w:b/>
          <w:bCs/>
          <w:sz w:val="24"/>
          <w:szCs w:val="24"/>
        </w:rPr>
        <w:t xml:space="preserve"> Holding AG</w:t>
      </w:r>
      <w:r w:rsidRPr="009B18F9">
        <w:rPr>
          <w:rFonts w:ascii="Times New Roman" w:eastAsia="Times New Roman" w:hAnsi="Times New Roman" w:cs="Times New Roman"/>
          <w:sz w:val="24"/>
          <w:szCs w:val="24"/>
        </w:rPr>
        <w:br/>
        <w:t>10.17.1 Overview</w:t>
      </w:r>
      <w:r w:rsidRPr="009B18F9">
        <w:t> </w:t>
      </w:r>
      <w:r w:rsidRPr="009B18F9">
        <w:rPr>
          <w:rFonts w:ascii="Times New Roman" w:eastAsia="Times New Roman" w:hAnsi="Times New Roman" w:cs="Times New Roman"/>
          <w:sz w:val="24"/>
          <w:szCs w:val="24"/>
        </w:rPr>
        <w:br/>
        <w:t>10.17.2 Financial Performance</w:t>
      </w:r>
      <w:r w:rsidRPr="009B18F9">
        <w:t> </w:t>
      </w:r>
      <w:r w:rsidRPr="009B18F9">
        <w:rPr>
          <w:rFonts w:ascii="Times New Roman" w:eastAsia="Times New Roman" w:hAnsi="Times New Roman" w:cs="Times New Roman"/>
          <w:sz w:val="24"/>
          <w:szCs w:val="24"/>
        </w:rPr>
        <w:br/>
        <w:t>10.17.3 Product Outlook</w:t>
      </w:r>
      <w:r w:rsidRPr="009B18F9">
        <w:t> </w:t>
      </w:r>
      <w:r w:rsidRPr="009B18F9">
        <w:rPr>
          <w:rFonts w:ascii="Times New Roman" w:eastAsia="Times New Roman" w:hAnsi="Times New Roman" w:cs="Times New Roman"/>
          <w:sz w:val="24"/>
          <w:szCs w:val="24"/>
        </w:rPr>
        <w:br/>
        <w:t>10.17.4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10.18 </w:t>
      </w:r>
      <w:proofErr w:type="spellStart"/>
      <w:r w:rsidRPr="009B18F9">
        <w:rPr>
          <w:rFonts w:ascii="Times New Roman" w:eastAsia="Times New Roman" w:hAnsi="Times New Roman" w:cs="Times New Roman"/>
          <w:b/>
          <w:bCs/>
          <w:sz w:val="24"/>
          <w:szCs w:val="24"/>
        </w:rPr>
        <w:t>Haleon</w:t>
      </w:r>
      <w:proofErr w:type="spellEnd"/>
      <w:r w:rsidRPr="009B18F9">
        <w:rPr>
          <w:rFonts w:ascii="Times New Roman" w:eastAsia="Times New Roman" w:hAnsi="Times New Roman" w:cs="Times New Roman"/>
          <w:sz w:val="24"/>
          <w:szCs w:val="24"/>
        </w:rPr>
        <w:br/>
        <w:t>10.18.1 Overview</w:t>
      </w:r>
      <w:r w:rsidRPr="009B18F9">
        <w:t> </w:t>
      </w:r>
      <w:r w:rsidRPr="009B18F9">
        <w:rPr>
          <w:rFonts w:ascii="Times New Roman" w:eastAsia="Times New Roman" w:hAnsi="Times New Roman" w:cs="Times New Roman"/>
          <w:sz w:val="24"/>
          <w:szCs w:val="24"/>
        </w:rPr>
        <w:br/>
        <w:t>10.18.2 Financial Performance</w:t>
      </w:r>
      <w:r w:rsidRPr="009B18F9">
        <w:t> </w:t>
      </w:r>
      <w:r w:rsidRPr="009B18F9">
        <w:rPr>
          <w:rFonts w:ascii="Times New Roman" w:eastAsia="Times New Roman" w:hAnsi="Times New Roman" w:cs="Times New Roman"/>
          <w:sz w:val="24"/>
          <w:szCs w:val="24"/>
        </w:rPr>
        <w:br/>
        <w:t>10.18.3 Product Outlook</w:t>
      </w:r>
      <w:r w:rsidRPr="009B18F9">
        <w:t> </w:t>
      </w:r>
      <w:r w:rsidRPr="009B18F9">
        <w:rPr>
          <w:rFonts w:ascii="Times New Roman" w:eastAsia="Times New Roman" w:hAnsi="Times New Roman" w:cs="Times New Roman"/>
          <w:sz w:val="24"/>
          <w:szCs w:val="24"/>
        </w:rPr>
        <w:br/>
        <w:t>10.18.4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10.19 </w:t>
      </w:r>
      <w:proofErr w:type="spellStart"/>
      <w:r w:rsidRPr="009B18F9">
        <w:rPr>
          <w:rFonts w:ascii="Times New Roman" w:eastAsia="Times New Roman" w:hAnsi="Times New Roman" w:cs="Times New Roman"/>
          <w:b/>
          <w:bCs/>
          <w:sz w:val="24"/>
          <w:szCs w:val="24"/>
        </w:rPr>
        <w:t>Ultradent</w:t>
      </w:r>
      <w:proofErr w:type="spellEnd"/>
      <w:r w:rsidRPr="009B18F9">
        <w:rPr>
          <w:rFonts w:ascii="Times New Roman" w:eastAsia="Times New Roman" w:hAnsi="Times New Roman" w:cs="Times New Roman"/>
          <w:b/>
          <w:bCs/>
          <w:sz w:val="24"/>
          <w:szCs w:val="24"/>
        </w:rPr>
        <w:t xml:space="preserve"> Products Inc</w:t>
      </w:r>
      <w:proofErr w:type="gramStart"/>
      <w:r w:rsidRPr="009B18F9">
        <w:rPr>
          <w:rFonts w:ascii="Times New Roman" w:eastAsia="Times New Roman" w:hAnsi="Times New Roman" w:cs="Times New Roman"/>
          <w:b/>
          <w:bCs/>
          <w:sz w:val="24"/>
          <w:szCs w:val="24"/>
        </w:rPr>
        <w:t>.</w:t>
      </w:r>
      <w:proofErr w:type="gramEnd"/>
      <w:r w:rsidRPr="009B18F9">
        <w:rPr>
          <w:rFonts w:ascii="Times New Roman" w:eastAsia="Times New Roman" w:hAnsi="Times New Roman" w:cs="Times New Roman"/>
          <w:sz w:val="24"/>
          <w:szCs w:val="24"/>
        </w:rPr>
        <w:br/>
        <w:t>10.19.1 Overview</w:t>
      </w:r>
      <w:r w:rsidRPr="009B18F9">
        <w:t> </w:t>
      </w:r>
      <w:r w:rsidRPr="009B18F9">
        <w:rPr>
          <w:rFonts w:ascii="Times New Roman" w:eastAsia="Times New Roman" w:hAnsi="Times New Roman" w:cs="Times New Roman"/>
          <w:sz w:val="24"/>
          <w:szCs w:val="24"/>
        </w:rPr>
        <w:br/>
        <w:t>10.19.2 Financial Performance</w:t>
      </w:r>
      <w:r w:rsidRPr="009B18F9">
        <w:t> </w:t>
      </w:r>
      <w:r w:rsidRPr="009B18F9">
        <w:rPr>
          <w:rFonts w:ascii="Times New Roman" w:eastAsia="Times New Roman" w:hAnsi="Times New Roman" w:cs="Times New Roman"/>
          <w:sz w:val="24"/>
          <w:szCs w:val="24"/>
        </w:rPr>
        <w:br/>
      </w:r>
      <w:r w:rsidRPr="009B18F9">
        <w:rPr>
          <w:rFonts w:ascii="Times New Roman" w:eastAsia="Times New Roman" w:hAnsi="Times New Roman" w:cs="Times New Roman"/>
          <w:sz w:val="24"/>
          <w:szCs w:val="24"/>
        </w:rPr>
        <w:lastRenderedPageBreak/>
        <w:t>10.19.3 Product Outlook</w:t>
      </w:r>
      <w:r w:rsidRPr="009B18F9">
        <w:t> </w:t>
      </w:r>
      <w:r w:rsidRPr="009B18F9">
        <w:rPr>
          <w:rFonts w:ascii="Times New Roman" w:eastAsia="Times New Roman" w:hAnsi="Times New Roman" w:cs="Times New Roman"/>
          <w:sz w:val="24"/>
          <w:szCs w:val="24"/>
        </w:rPr>
        <w:br/>
        <w:t>10.19.4 Key Developments</w:t>
      </w:r>
      <w:r w:rsidRPr="009B18F9">
        <w:t> </w:t>
      </w:r>
    </w:p>
    <w:p w:rsidR="009B18F9" w:rsidRPr="009B18F9" w:rsidRDefault="009B18F9" w:rsidP="009B18F9">
      <w:pPr>
        <w:pStyle w:val="ListParagraph"/>
        <w:spacing w:before="100" w:beforeAutospacing="1" w:after="100" w:afterAutospacing="1" w:line="360" w:lineRule="auto"/>
        <w:ind w:left="0"/>
        <w:rPr>
          <w:rFonts w:ascii="Times New Roman" w:eastAsia="Times New Roman" w:hAnsi="Times New Roman" w:cs="Times New Roman"/>
          <w:sz w:val="24"/>
          <w:szCs w:val="24"/>
        </w:rPr>
      </w:pPr>
      <w:r w:rsidRPr="009B18F9">
        <w:rPr>
          <w:rFonts w:ascii="Times New Roman" w:eastAsia="Times New Roman" w:hAnsi="Times New Roman" w:cs="Times New Roman"/>
          <w:sz w:val="24"/>
          <w:szCs w:val="24"/>
        </w:rPr>
        <w:t xml:space="preserve">10.20 </w:t>
      </w:r>
      <w:proofErr w:type="spellStart"/>
      <w:r w:rsidRPr="009B18F9">
        <w:rPr>
          <w:rFonts w:ascii="Times New Roman" w:eastAsia="Times New Roman" w:hAnsi="Times New Roman" w:cs="Times New Roman"/>
          <w:b/>
          <w:bCs/>
          <w:sz w:val="24"/>
          <w:szCs w:val="24"/>
        </w:rPr>
        <w:t>Voco</w:t>
      </w:r>
      <w:proofErr w:type="spellEnd"/>
      <w:r w:rsidRPr="009B18F9">
        <w:rPr>
          <w:rFonts w:ascii="Times New Roman" w:eastAsia="Times New Roman" w:hAnsi="Times New Roman" w:cs="Times New Roman"/>
          <w:b/>
          <w:bCs/>
          <w:sz w:val="24"/>
          <w:szCs w:val="24"/>
        </w:rPr>
        <w:t xml:space="preserve"> GmbH</w:t>
      </w:r>
      <w:r w:rsidRPr="009B18F9">
        <w:rPr>
          <w:rFonts w:ascii="Times New Roman" w:eastAsia="Times New Roman" w:hAnsi="Times New Roman" w:cs="Times New Roman"/>
          <w:sz w:val="24"/>
          <w:szCs w:val="24"/>
        </w:rPr>
        <w:br/>
        <w:t>10.20.1 Overview</w:t>
      </w:r>
      <w:r w:rsidRPr="009B18F9">
        <w:t> </w:t>
      </w:r>
      <w:r w:rsidRPr="009B18F9">
        <w:rPr>
          <w:rFonts w:ascii="Times New Roman" w:eastAsia="Times New Roman" w:hAnsi="Times New Roman" w:cs="Times New Roman"/>
          <w:sz w:val="24"/>
          <w:szCs w:val="24"/>
        </w:rPr>
        <w:br/>
        <w:t>10.20.2 Financial Performance</w:t>
      </w:r>
      <w:r w:rsidRPr="009B18F9">
        <w:t> </w:t>
      </w:r>
      <w:r w:rsidRPr="009B18F9">
        <w:rPr>
          <w:rFonts w:ascii="Times New Roman" w:eastAsia="Times New Roman" w:hAnsi="Times New Roman" w:cs="Times New Roman"/>
          <w:sz w:val="24"/>
          <w:szCs w:val="24"/>
        </w:rPr>
        <w:br/>
        <w:t>10.20.3 Product Outlook</w:t>
      </w:r>
      <w:r w:rsidRPr="009B18F9">
        <w:t> </w:t>
      </w:r>
      <w:r w:rsidRPr="009B18F9">
        <w:rPr>
          <w:rFonts w:ascii="Times New Roman" w:eastAsia="Times New Roman" w:hAnsi="Times New Roman" w:cs="Times New Roman"/>
          <w:sz w:val="24"/>
          <w:szCs w:val="24"/>
        </w:rPr>
        <w:br/>
        <w:t>10.20.4 Key Developments</w:t>
      </w:r>
      <w:r w:rsidRPr="009B18F9">
        <w:t> </w:t>
      </w:r>
    </w:p>
    <w:p w:rsidR="009B18F9" w:rsidRPr="00E96A9C" w:rsidRDefault="009B18F9" w:rsidP="009B18F9">
      <w:pPr>
        <w:pStyle w:val="NormalWeb"/>
        <w:spacing w:line="360" w:lineRule="auto"/>
        <w:jc w:val="both"/>
      </w:pPr>
      <w:r w:rsidRPr="00E96A9C">
        <w:rPr>
          <w:b/>
        </w:rPr>
        <w:t>11 KEY DEVELOPMENTS</w:t>
      </w:r>
      <w:r w:rsidRPr="00E96A9C">
        <w:t xml:space="preserve"> </w:t>
      </w:r>
    </w:p>
    <w:p w:rsidR="009B18F9" w:rsidRPr="00E96A9C" w:rsidRDefault="009B18F9" w:rsidP="009B18F9">
      <w:pPr>
        <w:pStyle w:val="NormalWeb"/>
        <w:spacing w:line="360" w:lineRule="auto"/>
        <w:jc w:val="both"/>
      </w:pPr>
      <w:r w:rsidRPr="00E96A9C">
        <w:t xml:space="preserve">Product Launches/Developments </w:t>
      </w:r>
    </w:p>
    <w:p w:rsidR="009B18F9" w:rsidRPr="00E96A9C" w:rsidRDefault="009B18F9" w:rsidP="009B18F9">
      <w:pPr>
        <w:pStyle w:val="NormalWeb"/>
        <w:spacing w:line="360" w:lineRule="auto"/>
        <w:jc w:val="both"/>
      </w:pPr>
      <w:r>
        <w:rPr>
          <w:noProof/>
          <w:lang w:val="en-IN" w:eastAsia="en-IN"/>
        </w:rPr>
        <w:drawing>
          <wp:anchor distT="0" distB="0" distL="0" distR="0" simplePos="0" relativeHeight="251687936" behindDoc="1" locked="0" layoutInCell="1" allowOverlap="1">
            <wp:simplePos x="0" y="0"/>
            <wp:positionH relativeFrom="page">
              <wp:posOffset>-34290</wp:posOffset>
            </wp:positionH>
            <wp:positionV relativeFrom="page">
              <wp:posOffset>-160020</wp:posOffset>
            </wp:positionV>
            <wp:extent cx="10222230" cy="14455140"/>
            <wp:effectExtent l="19050" t="0" r="7620" b="0"/>
            <wp:wrapNone/>
            <wp:docPr id="1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E96A9C">
        <w:t xml:space="preserve">Mergers and Acquisitions </w:t>
      </w:r>
    </w:p>
    <w:p w:rsidR="009B18F9" w:rsidRPr="00E96A9C" w:rsidRDefault="009B18F9" w:rsidP="009B18F9">
      <w:pPr>
        <w:pStyle w:val="NormalWeb"/>
        <w:spacing w:line="360" w:lineRule="auto"/>
        <w:jc w:val="both"/>
      </w:pPr>
      <w:r w:rsidRPr="00E96A9C">
        <w:t xml:space="preserve">Business Expansions </w:t>
      </w:r>
    </w:p>
    <w:p w:rsidR="009B18F9" w:rsidRPr="00E96A9C" w:rsidRDefault="009B18F9" w:rsidP="009B18F9">
      <w:pPr>
        <w:pStyle w:val="NormalWeb"/>
        <w:spacing w:line="360" w:lineRule="auto"/>
        <w:jc w:val="both"/>
      </w:pPr>
      <w:r w:rsidRPr="00E96A9C">
        <w:t>Partnerships and Collaborations</w:t>
      </w:r>
      <w:r w:rsidRPr="00E96A9C">
        <w:rPr>
          <w:b/>
        </w:rPr>
        <w:t xml:space="preserve"> </w:t>
      </w:r>
    </w:p>
    <w:p w:rsidR="009B18F9" w:rsidRPr="006160A2" w:rsidRDefault="009B18F9" w:rsidP="009B18F9">
      <w:pPr>
        <w:tabs>
          <w:tab w:val="num" w:pos="284"/>
          <w:tab w:val="num" w:pos="426"/>
        </w:tabs>
        <w:spacing w:before="100" w:beforeAutospacing="1" w:after="100" w:afterAutospacing="1" w:line="360" w:lineRule="auto"/>
        <w:ind w:left="284"/>
        <w:jc w:val="both"/>
        <w:rPr>
          <w:rFonts w:ascii="Times New Roman" w:eastAsia="Times New Roman" w:hAnsi="Times New Roman" w:cs="Times New Roman"/>
          <w:sz w:val="24"/>
          <w:szCs w:val="24"/>
        </w:rPr>
      </w:pPr>
    </w:p>
    <w:p w:rsidR="006160A2" w:rsidRPr="006160A2" w:rsidRDefault="006160A2" w:rsidP="00E21E74">
      <w:pPr>
        <w:numPr>
          <w:ilvl w:val="0"/>
          <w:numId w:val="22"/>
        </w:numPr>
        <w:tabs>
          <w:tab w:val="clear" w:pos="720"/>
          <w:tab w:val="num" w:pos="0"/>
          <w:tab w:val="num" w:pos="284"/>
        </w:tabs>
        <w:spacing w:before="100" w:beforeAutospacing="1" w:after="100" w:afterAutospacing="1" w:line="360" w:lineRule="auto"/>
        <w:ind w:left="-142" w:firstLine="0"/>
        <w:jc w:val="both"/>
        <w:rPr>
          <w:rFonts w:ascii="Times New Roman" w:eastAsia="Times New Roman" w:hAnsi="Times New Roman" w:cs="Times New Roman"/>
          <w:sz w:val="24"/>
          <w:szCs w:val="24"/>
        </w:rPr>
      </w:pPr>
      <w:r w:rsidRPr="006E7998">
        <w:rPr>
          <w:rFonts w:ascii="Times New Roman" w:eastAsia="Times New Roman" w:hAnsi="Times New Roman" w:cs="Times New Roman"/>
          <w:b/>
          <w:bCs/>
          <w:sz w:val="24"/>
          <w:szCs w:val="24"/>
        </w:rPr>
        <w:t>Appendix</w:t>
      </w:r>
    </w:p>
    <w:p w:rsidR="006160A2" w:rsidRPr="006160A2" w:rsidRDefault="006160A2" w:rsidP="00E21E74">
      <w:pPr>
        <w:numPr>
          <w:ilvl w:val="0"/>
          <w:numId w:val="23"/>
        </w:numPr>
        <w:tabs>
          <w:tab w:val="clear" w:pos="720"/>
          <w:tab w:val="num" w:pos="0"/>
          <w:tab w:val="num" w:pos="284"/>
        </w:tabs>
        <w:spacing w:before="100" w:beforeAutospacing="1" w:after="100" w:afterAutospacing="1" w:line="360" w:lineRule="auto"/>
        <w:ind w:left="-142" w:firstLine="0"/>
        <w:jc w:val="both"/>
        <w:rPr>
          <w:rFonts w:ascii="Times New Roman" w:eastAsia="Times New Roman" w:hAnsi="Times New Roman" w:cs="Times New Roman"/>
          <w:sz w:val="24"/>
          <w:szCs w:val="24"/>
        </w:rPr>
      </w:pPr>
      <w:r w:rsidRPr="006160A2">
        <w:rPr>
          <w:rFonts w:ascii="Times New Roman" w:eastAsia="Times New Roman" w:hAnsi="Times New Roman" w:cs="Times New Roman"/>
          <w:sz w:val="24"/>
          <w:szCs w:val="24"/>
        </w:rPr>
        <w:t>Related Research</w:t>
      </w:r>
    </w:p>
    <w:p w:rsidR="006160A2" w:rsidRPr="006160A2" w:rsidRDefault="006160A2" w:rsidP="006E7998">
      <w:pPr>
        <w:spacing w:after="0" w:line="360" w:lineRule="auto"/>
        <w:jc w:val="both"/>
        <w:rPr>
          <w:rFonts w:ascii="Times New Roman" w:eastAsia="Times New Roman" w:hAnsi="Times New Roman" w:cs="Times New Roman"/>
          <w:sz w:val="24"/>
          <w:szCs w:val="24"/>
        </w:rPr>
      </w:pPr>
    </w:p>
    <w:p w:rsidR="000E62D2" w:rsidRPr="006E7998" w:rsidRDefault="000E62D2" w:rsidP="006E7998">
      <w:pPr>
        <w:spacing w:line="360" w:lineRule="auto"/>
        <w:jc w:val="both"/>
        <w:rPr>
          <w:rFonts w:ascii="Times New Roman" w:hAnsi="Times New Roman" w:cs="Times New Roman"/>
          <w:sz w:val="24"/>
          <w:szCs w:val="24"/>
        </w:rPr>
      </w:pPr>
    </w:p>
    <w:sectPr w:rsidR="000E62D2" w:rsidRPr="006E7998" w:rsidSect="000E6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0093"/>
    <w:multiLevelType w:val="hybridMultilevel"/>
    <w:tmpl w:val="55D2EADE"/>
    <w:lvl w:ilvl="0" w:tplc="2DE65FB4">
      <w:start w:val="1"/>
      <w:numFmt w:val="decimal"/>
      <w:lvlText w:val="10.8.%1"/>
      <w:lvlJc w:val="righ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2452C"/>
    <w:multiLevelType w:val="hybridMultilevel"/>
    <w:tmpl w:val="F70E6B84"/>
    <w:lvl w:ilvl="0" w:tplc="9414359C">
      <w:start w:val="1"/>
      <w:numFmt w:val="decimal"/>
      <w:lvlText w:val="10.4.%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1173A"/>
    <w:multiLevelType w:val="multilevel"/>
    <w:tmpl w:val="9C4E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45335"/>
    <w:multiLevelType w:val="multilevel"/>
    <w:tmpl w:val="9D38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1576"/>
    <w:multiLevelType w:val="multilevel"/>
    <w:tmpl w:val="EABC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85A8D"/>
    <w:multiLevelType w:val="multilevel"/>
    <w:tmpl w:val="367A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66A01"/>
    <w:multiLevelType w:val="multilevel"/>
    <w:tmpl w:val="E40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C543D"/>
    <w:multiLevelType w:val="multilevel"/>
    <w:tmpl w:val="E3E4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F3FD7"/>
    <w:multiLevelType w:val="multilevel"/>
    <w:tmpl w:val="CD9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95DC0"/>
    <w:multiLevelType w:val="multilevel"/>
    <w:tmpl w:val="A14A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77500"/>
    <w:multiLevelType w:val="hybridMultilevel"/>
    <w:tmpl w:val="8B4C862E"/>
    <w:lvl w:ilvl="0" w:tplc="1BCA7DA4">
      <w:start w:val="1"/>
      <w:numFmt w:val="decimal"/>
      <w:lvlText w:val="10.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1A2DB5"/>
    <w:multiLevelType w:val="multilevel"/>
    <w:tmpl w:val="668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07C42"/>
    <w:multiLevelType w:val="hybridMultilevel"/>
    <w:tmpl w:val="84043602"/>
    <w:lvl w:ilvl="0" w:tplc="9DDA2254">
      <w:start w:val="1"/>
      <w:numFmt w:val="decimal"/>
      <w:lvlText w:val="10.7.%1"/>
      <w:lvlJc w:val="righ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02811"/>
    <w:multiLevelType w:val="multilevel"/>
    <w:tmpl w:val="658E4F44"/>
    <w:lvl w:ilvl="0">
      <w:start w:val="1"/>
      <w:numFmt w:val="decimal"/>
      <w:lvlText w:val="10.%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04D0E"/>
    <w:multiLevelType w:val="multilevel"/>
    <w:tmpl w:val="976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21D62"/>
    <w:multiLevelType w:val="hybridMultilevel"/>
    <w:tmpl w:val="F4B42CEE"/>
    <w:lvl w:ilvl="0" w:tplc="6E8447B6">
      <w:start w:val="1"/>
      <w:numFmt w:val="decimal"/>
      <w:lvlText w:val="10.3.%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14EF5"/>
    <w:multiLevelType w:val="multilevel"/>
    <w:tmpl w:val="9634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F692C"/>
    <w:multiLevelType w:val="multilevel"/>
    <w:tmpl w:val="24C4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872E0"/>
    <w:multiLevelType w:val="multilevel"/>
    <w:tmpl w:val="B33A54D0"/>
    <w:lvl w:ilvl="0">
      <w:start w:val="1"/>
      <w:numFmt w:val="decimal"/>
      <w:lvlText w:val="%1."/>
      <w:lvlJc w:val="left"/>
      <w:pPr>
        <w:tabs>
          <w:tab w:val="num" w:pos="-1876"/>
        </w:tabs>
        <w:ind w:left="-1876" w:hanging="360"/>
      </w:pPr>
    </w:lvl>
    <w:lvl w:ilvl="1">
      <w:start w:val="1"/>
      <w:numFmt w:val="bullet"/>
      <w:lvlText w:val=""/>
      <w:lvlJc w:val="left"/>
      <w:pPr>
        <w:tabs>
          <w:tab w:val="num" w:pos="-1156"/>
        </w:tabs>
        <w:ind w:left="-1156" w:hanging="360"/>
      </w:pPr>
      <w:rPr>
        <w:rFonts w:ascii="Symbol" w:hAnsi="Symbol" w:hint="default"/>
        <w:sz w:val="20"/>
      </w:rPr>
    </w:lvl>
    <w:lvl w:ilvl="2">
      <w:start w:val="1"/>
      <w:numFmt w:val="bullet"/>
      <w:lvlText w:val=""/>
      <w:lvlJc w:val="left"/>
      <w:pPr>
        <w:tabs>
          <w:tab w:val="num" w:pos="-436"/>
        </w:tabs>
        <w:ind w:left="-436" w:hanging="360"/>
      </w:pPr>
      <w:rPr>
        <w:rFonts w:ascii="Wingdings" w:hAnsi="Wingdings" w:hint="default"/>
        <w:sz w:val="20"/>
      </w:rPr>
    </w:lvl>
    <w:lvl w:ilvl="3" w:tentative="1">
      <w:start w:val="1"/>
      <w:numFmt w:val="decimal"/>
      <w:lvlText w:val="%4."/>
      <w:lvlJc w:val="left"/>
      <w:pPr>
        <w:tabs>
          <w:tab w:val="num" w:pos="284"/>
        </w:tabs>
        <w:ind w:left="284" w:hanging="360"/>
      </w:pPr>
    </w:lvl>
    <w:lvl w:ilvl="4" w:tentative="1">
      <w:start w:val="1"/>
      <w:numFmt w:val="decimal"/>
      <w:lvlText w:val="%5."/>
      <w:lvlJc w:val="left"/>
      <w:pPr>
        <w:tabs>
          <w:tab w:val="num" w:pos="1004"/>
        </w:tabs>
        <w:ind w:left="1004" w:hanging="360"/>
      </w:pPr>
    </w:lvl>
    <w:lvl w:ilvl="5" w:tentative="1">
      <w:start w:val="1"/>
      <w:numFmt w:val="decimal"/>
      <w:lvlText w:val="%6."/>
      <w:lvlJc w:val="left"/>
      <w:pPr>
        <w:tabs>
          <w:tab w:val="num" w:pos="1724"/>
        </w:tabs>
        <w:ind w:left="1724" w:hanging="360"/>
      </w:pPr>
    </w:lvl>
    <w:lvl w:ilvl="6" w:tentative="1">
      <w:start w:val="1"/>
      <w:numFmt w:val="decimal"/>
      <w:lvlText w:val="%7."/>
      <w:lvlJc w:val="left"/>
      <w:pPr>
        <w:tabs>
          <w:tab w:val="num" w:pos="2444"/>
        </w:tabs>
        <w:ind w:left="2444" w:hanging="360"/>
      </w:pPr>
    </w:lvl>
    <w:lvl w:ilvl="7" w:tentative="1">
      <w:start w:val="1"/>
      <w:numFmt w:val="decimal"/>
      <w:lvlText w:val="%8."/>
      <w:lvlJc w:val="left"/>
      <w:pPr>
        <w:tabs>
          <w:tab w:val="num" w:pos="3164"/>
        </w:tabs>
        <w:ind w:left="3164" w:hanging="360"/>
      </w:pPr>
    </w:lvl>
    <w:lvl w:ilvl="8" w:tentative="1">
      <w:start w:val="1"/>
      <w:numFmt w:val="decimal"/>
      <w:lvlText w:val="%9."/>
      <w:lvlJc w:val="left"/>
      <w:pPr>
        <w:tabs>
          <w:tab w:val="num" w:pos="3884"/>
        </w:tabs>
        <w:ind w:left="3884" w:hanging="360"/>
      </w:pPr>
    </w:lvl>
  </w:abstractNum>
  <w:abstractNum w:abstractNumId="19" w15:restartNumberingAfterBreak="0">
    <w:nsid w:val="57E4160B"/>
    <w:multiLevelType w:val="multilevel"/>
    <w:tmpl w:val="CCE879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C488B"/>
    <w:multiLevelType w:val="multilevel"/>
    <w:tmpl w:val="7078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C0941"/>
    <w:multiLevelType w:val="multilevel"/>
    <w:tmpl w:val="4BF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D442E"/>
    <w:multiLevelType w:val="multilevel"/>
    <w:tmpl w:val="BC7466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1C0164"/>
    <w:multiLevelType w:val="multilevel"/>
    <w:tmpl w:val="20AA7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126C84"/>
    <w:multiLevelType w:val="hybridMultilevel"/>
    <w:tmpl w:val="A7C22986"/>
    <w:lvl w:ilvl="0" w:tplc="974A9112">
      <w:start w:val="1"/>
      <w:numFmt w:val="decimal"/>
      <w:lvlText w:val="10.9.%1"/>
      <w:lvlJc w:val="righ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E711F6"/>
    <w:multiLevelType w:val="multilevel"/>
    <w:tmpl w:val="5C7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B34BD"/>
    <w:multiLevelType w:val="hybridMultilevel"/>
    <w:tmpl w:val="0B147316"/>
    <w:lvl w:ilvl="0" w:tplc="7398F1C0">
      <w:start w:val="1"/>
      <w:numFmt w:val="decimal"/>
      <w:lvlText w:val="10.2.%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F75D3"/>
    <w:multiLevelType w:val="hybridMultilevel"/>
    <w:tmpl w:val="E8940E6A"/>
    <w:lvl w:ilvl="0" w:tplc="EA9871DE">
      <w:start w:val="1"/>
      <w:numFmt w:val="decimal"/>
      <w:lvlText w:val="10.5.%1"/>
      <w:lvlJc w:val="righ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327AC"/>
    <w:multiLevelType w:val="multilevel"/>
    <w:tmpl w:val="47C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707B3"/>
    <w:multiLevelType w:val="hybridMultilevel"/>
    <w:tmpl w:val="2C9A713C"/>
    <w:lvl w:ilvl="0" w:tplc="2C6694C6">
      <w:start w:val="1"/>
      <w:numFmt w:val="decimal"/>
      <w:lvlText w:val="10.6.%1"/>
      <w:lvlJc w:val="righ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E17ED"/>
    <w:multiLevelType w:val="hybridMultilevel"/>
    <w:tmpl w:val="2F36AE4E"/>
    <w:lvl w:ilvl="0" w:tplc="558C4FB2">
      <w:start w:val="1"/>
      <w:numFmt w:val="decimal"/>
      <w:lvlText w:val="10.10.%1"/>
      <w:lvlJc w:val="right"/>
      <w:pPr>
        <w:ind w:left="43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940EA"/>
    <w:multiLevelType w:val="multilevel"/>
    <w:tmpl w:val="437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4304A"/>
    <w:multiLevelType w:val="multilevel"/>
    <w:tmpl w:val="98C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2"/>
  </w:num>
  <w:num w:numId="3">
    <w:abstractNumId w:val="8"/>
  </w:num>
  <w:num w:numId="4">
    <w:abstractNumId w:val="16"/>
  </w:num>
  <w:num w:numId="5">
    <w:abstractNumId w:val="31"/>
  </w:num>
  <w:num w:numId="6">
    <w:abstractNumId w:val="9"/>
  </w:num>
  <w:num w:numId="7">
    <w:abstractNumId w:val="14"/>
  </w:num>
  <w:num w:numId="8">
    <w:abstractNumId w:val="20"/>
  </w:num>
  <w:num w:numId="9">
    <w:abstractNumId w:val="23"/>
  </w:num>
  <w:num w:numId="10">
    <w:abstractNumId w:val="25"/>
  </w:num>
  <w:num w:numId="11">
    <w:abstractNumId w:val="28"/>
  </w:num>
  <w:num w:numId="12">
    <w:abstractNumId w:val="7"/>
  </w:num>
  <w:num w:numId="13">
    <w:abstractNumId w:val="2"/>
  </w:num>
  <w:num w:numId="14">
    <w:abstractNumId w:val="17"/>
  </w:num>
  <w:num w:numId="15">
    <w:abstractNumId w:val="6"/>
  </w:num>
  <w:num w:numId="16">
    <w:abstractNumId w:val="11"/>
  </w:num>
  <w:num w:numId="17">
    <w:abstractNumId w:val="4"/>
  </w:num>
  <w:num w:numId="18">
    <w:abstractNumId w:val="18"/>
  </w:num>
  <w:num w:numId="19">
    <w:abstractNumId w:val="13"/>
  </w:num>
  <w:num w:numId="20">
    <w:abstractNumId w:val="19"/>
  </w:num>
  <w:num w:numId="21">
    <w:abstractNumId w:val="3"/>
  </w:num>
  <w:num w:numId="22">
    <w:abstractNumId w:val="22"/>
  </w:num>
  <w:num w:numId="23">
    <w:abstractNumId w:val="21"/>
  </w:num>
  <w:num w:numId="24">
    <w:abstractNumId w:val="10"/>
  </w:num>
  <w:num w:numId="25">
    <w:abstractNumId w:val="26"/>
  </w:num>
  <w:num w:numId="26">
    <w:abstractNumId w:val="15"/>
  </w:num>
  <w:num w:numId="27">
    <w:abstractNumId w:val="1"/>
  </w:num>
  <w:num w:numId="28">
    <w:abstractNumId w:val="27"/>
  </w:num>
  <w:num w:numId="29">
    <w:abstractNumId w:val="29"/>
  </w:num>
  <w:num w:numId="30">
    <w:abstractNumId w:val="12"/>
  </w:num>
  <w:num w:numId="31">
    <w:abstractNumId w:val="0"/>
  </w:num>
  <w:num w:numId="32">
    <w:abstractNumId w:val="2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160A2"/>
    <w:rsid w:val="00020DB0"/>
    <w:rsid w:val="000E62D2"/>
    <w:rsid w:val="001829BE"/>
    <w:rsid w:val="003D52CB"/>
    <w:rsid w:val="00513CDC"/>
    <w:rsid w:val="006160A2"/>
    <w:rsid w:val="006E7998"/>
    <w:rsid w:val="007A34F5"/>
    <w:rsid w:val="007A3AD5"/>
    <w:rsid w:val="008E7259"/>
    <w:rsid w:val="00965F44"/>
    <w:rsid w:val="009B18F9"/>
    <w:rsid w:val="009C6D65"/>
    <w:rsid w:val="00A74790"/>
    <w:rsid w:val="00AF4E88"/>
    <w:rsid w:val="00BB7E28"/>
    <w:rsid w:val="00CE3D9A"/>
    <w:rsid w:val="00D7635F"/>
    <w:rsid w:val="00E2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D253"/>
  <w15:docId w15:val="{A41510E0-6FEC-4E30-BD1D-5C6E5FDC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D2"/>
  </w:style>
  <w:style w:type="paragraph" w:styleId="Heading1">
    <w:name w:val="heading 1"/>
    <w:basedOn w:val="Normal"/>
    <w:link w:val="Heading1Char"/>
    <w:uiPriority w:val="9"/>
    <w:qFormat/>
    <w:rsid w:val="00616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6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60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60A2"/>
    <w:rPr>
      <w:b/>
      <w:bCs/>
    </w:rPr>
  </w:style>
  <w:style w:type="character" w:customStyle="1" w:styleId="relative">
    <w:name w:val="relative"/>
    <w:basedOn w:val="DefaultParagraphFont"/>
    <w:rsid w:val="006160A2"/>
  </w:style>
  <w:style w:type="character" w:customStyle="1" w:styleId="ml-1">
    <w:name w:val="ml-1"/>
    <w:basedOn w:val="DefaultParagraphFont"/>
    <w:rsid w:val="006160A2"/>
  </w:style>
  <w:style w:type="character" w:customStyle="1" w:styleId="max-w-full">
    <w:name w:val="max-w-full"/>
    <w:basedOn w:val="DefaultParagraphFont"/>
    <w:rsid w:val="006160A2"/>
  </w:style>
  <w:style w:type="character" w:customStyle="1" w:styleId="Heading1Char">
    <w:name w:val="Heading 1 Char"/>
    <w:basedOn w:val="DefaultParagraphFont"/>
    <w:link w:val="Heading1"/>
    <w:uiPriority w:val="9"/>
    <w:rsid w:val="006160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0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60A2"/>
    <w:rPr>
      <w:rFonts w:ascii="Times New Roman" w:eastAsia="Times New Roman" w:hAnsi="Times New Roman" w:cs="Times New Roman"/>
      <w:b/>
      <w:bCs/>
      <w:sz w:val="27"/>
      <w:szCs w:val="27"/>
    </w:rPr>
  </w:style>
  <w:style w:type="paragraph" w:styleId="NormalWeb">
    <w:name w:val="Normal (Web)"/>
    <w:basedOn w:val="Normal"/>
    <w:uiPriority w:val="99"/>
    <w:unhideWhenUsed/>
    <w:rsid w:val="006160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2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635126">
      <w:bodyDiv w:val="1"/>
      <w:marLeft w:val="0"/>
      <w:marRight w:val="0"/>
      <w:marTop w:val="0"/>
      <w:marBottom w:val="0"/>
      <w:divBdr>
        <w:top w:val="none" w:sz="0" w:space="0" w:color="auto"/>
        <w:left w:val="none" w:sz="0" w:space="0" w:color="auto"/>
        <w:bottom w:val="none" w:sz="0" w:space="0" w:color="auto"/>
        <w:right w:val="none" w:sz="0" w:space="0" w:color="auto"/>
      </w:divBdr>
    </w:div>
    <w:div w:id="675770983">
      <w:bodyDiv w:val="1"/>
      <w:marLeft w:val="0"/>
      <w:marRight w:val="0"/>
      <w:marTop w:val="0"/>
      <w:marBottom w:val="0"/>
      <w:divBdr>
        <w:top w:val="none" w:sz="0" w:space="0" w:color="auto"/>
        <w:left w:val="none" w:sz="0" w:space="0" w:color="auto"/>
        <w:bottom w:val="none" w:sz="0" w:space="0" w:color="auto"/>
        <w:right w:val="none" w:sz="0" w:space="0" w:color="auto"/>
      </w:divBdr>
    </w:div>
    <w:div w:id="1564874368">
      <w:bodyDiv w:val="1"/>
      <w:marLeft w:val="0"/>
      <w:marRight w:val="0"/>
      <w:marTop w:val="0"/>
      <w:marBottom w:val="0"/>
      <w:divBdr>
        <w:top w:val="none" w:sz="0" w:space="0" w:color="auto"/>
        <w:left w:val="none" w:sz="0" w:space="0" w:color="auto"/>
        <w:bottom w:val="none" w:sz="0" w:space="0" w:color="auto"/>
        <w:right w:val="none" w:sz="0" w:space="0" w:color="auto"/>
      </w:divBdr>
    </w:div>
    <w:div w:id="174440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11</cp:revision>
  <dcterms:created xsi:type="dcterms:W3CDTF">2025-04-05T11:04:00Z</dcterms:created>
  <dcterms:modified xsi:type="dcterms:W3CDTF">2025-05-13T07:31:00Z</dcterms:modified>
</cp:coreProperties>
</file>