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D8A" w:rsidRPr="006D7D8A" w:rsidRDefault="006D7D8A" w:rsidP="006D7D8A">
      <w:pPr>
        <w:pStyle w:val="NormalWeb"/>
        <w:spacing w:line="360" w:lineRule="auto"/>
        <w:jc w:val="both"/>
      </w:pPr>
      <w:r w:rsidRPr="006D7D8A">
        <w:rPr>
          <w:rStyle w:val="Strong"/>
        </w:rPr>
        <w:t>Europe Injectable Drug Delivery Market</w:t>
      </w:r>
      <w:r w:rsidRPr="006D7D8A">
        <w:rPr>
          <w:rStyle w:val="Strong"/>
          <w:noProof/>
          <w:lang w:val="en-IN" w:eastAsia="en-IN"/>
        </w:rPr>
        <w:drawing>
          <wp:anchor distT="0" distB="0" distL="0" distR="0" simplePos="0" relativeHeight="251659264" behindDoc="1" locked="0" layoutInCell="1" allowOverlap="1">
            <wp:simplePos x="0" y="0"/>
            <wp:positionH relativeFrom="page">
              <wp:posOffset>-670560</wp:posOffset>
            </wp:positionH>
            <wp:positionV relativeFrom="page">
              <wp:posOffset>-1325880</wp:posOffset>
            </wp:positionV>
            <wp:extent cx="10222230" cy="14455140"/>
            <wp:effectExtent l="0" t="0" r="3810" b="0"/>
            <wp:wrapNone/>
            <wp:docPr id="1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6D7D8A" w:rsidRDefault="00164EBE" w:rsidP="00A61477">
      <w:pPr>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Intelli</w:t>
      </w:r>
      <w:proofErr w:type="spellEnd"/>
      <w:r w:rsidR="006D7D8A" w:rsidRPr="006D7D8A">
        <w:rPr>
          <w:rFonts w:ascii="Times New Roman" w:hAnsi="Times New Roman" w:cs="Times New Roman"/>
          <w:sz w:val="24"/>
          <w:szCs w:val="24"/>
        </w:rPr>
        <w:t xml:space="preserve">, the Europe Injectable Drug Delivery Market was valued at approximately </w:t>
      </w:r>
      <w:r w:rsidR="006D7D8A" w:rsidRPr="00A61477">
        <w:rPr>
          <w:rStyle w:val="Strong"/>
          <w:rFonts w:ascii="Times New Roman" w:hAnsi="Times New Roman" w:cs="Times New Roman"/>
          <w:b w:val="0"/>
          <w:sz w:val="24"/>
          <w:szCs w:val="24"/>
        </w:rPr>
        <w:t xml:space="preserve">USD </w:t>
      </w:r>
      <w:r w:rsidRPr="00A61477">
        <w:rPr>
          <w:rFonts w:ascii="Times New Roman" w:hAnsi="Times New Roman" w:cs="Times New Roman"/>
          <w:sz w:val="24"/>
          <w:szCs w:val="24"/>
        </w:rPr>
        <w:t>5,841</w:t>
      </w:r>
      <w:r w:rsidRPr="00A61477">
        <w:rPr>
          <w:rStyle w:val="Strong"/>
          <w:rFonts w:ascii="Times New Roman" w:hAnsi="Times New Roman" w:cs="Times New Roman"/>
          <w:b w:val="0"/>
          <w:sz w:val="24"/>
          <w:szCs w:val="24"/>
        </w:rPr>
        <w:t xml:space="preserve"> </w:t>
      </w:r>
      <w:r w:rsidR="006D7D8A" w:rsidRPr="00A61477">
        <w:rPr>
          <w:rStyle w:val="Strong"/>
          <w:rFonts w:ascii="Times New Roman" w:hAnsi="Times New Roman" w:cs="Times New Roman"/>
          <w:b w:val="0"/>
          <w:sz w:val="24"/>
          <w:szCs w:val="24"/>
        </w:rPr>
        <w:t>million</w:t>
      </w:r>
      <w:r w:rsidR="006D7D8A" w:rsidRPr="00A61477">
        <w:rPr>
          <w:rFonts w:ascii="Times New Roman" w:hAnsi="Times New Roman" w:cs="Times New Roman"/>
          <w:sz w:val="24"/>
          <w:szCs w:val="24"/>
        </w:rPr>
        <w:t xml:space="preserve"> in 2024 and is projected to reach USD </w:t>
      </w:r>
      <w:r w:rsidRPr="00A61477">
        <w:rPr>
          <w:rFonts w:ascii="Times New Roman" w:eastAsia="Times New Roman" w:hAnsi="Times New Roman" w:cs="Times New Roman"/>
          <w:color w:val="000000"/>
          <w:sz w:val="24"/>
          <w:szCs w:val="24"/>
        </w:rPr>
        <w:t>14154.14</w:t>
      </w:r>
      <w:r w:rsidR="006D7D8A" w:rsidRPr="00A61477">
        <w:rPr>
          <w:rFonts w:ascii="Times New Roman" w:eastAsia="Times New Roman" w:hAnsi="Times New Roman" w:cs="Times New Roman"/>
          <w:color w:val="000000"/>
          <w:sz w:val="24"/>
          <w:szCs w:val="24"/>
        </w:rPr>
        <w:t xml:space="preserve"> million,</w:t>
      </w:r>
      <w:r w:rsidR="006D7D8A" w:rsidRPr="00A61477">
        <w:rPr>
          <w:rFonts w:ascii="Times New Roman" w:hAnsi="Times New Roman" w:cs="Times New Roman"/>
          <w:sz w:val="24"/>
          <w:szCs w:val="24"/>
        </w:rPr>
        <w:t xml:space="preserve"> growing at a </w:t>
      </w:r>
      <w:r w:rsidR="006D7D8A" w:rsidRPr="00A61477">
        <w:rPr>
          <w:rStyle w:val="Strong"/>
          <w:rFonts w:ascii="Times New Roman" w:hAnsi="Times New Roman" w:cs="Times New Roman"/>
          <w:b w:val="0"/>
          <w:sz w:val="24"/>
          <w:szCs w:val="24"/>
        </w:rPr>
        <w:t>compound annual growth rate (CAGR) of 12.6%</w:t>
      </w:r>
      <w:r w:rsidR="006D7D8A" w:rsidRPr="00A61477">
        <w:rPr>
          <w:rFonts w:ascii="Times New Roman" w:hAnsi="Times New Roman" w:cs="Times New Roman"/>
          <w:sz w:val="24"/>
          <w:szCs w:val="24"/>
        </w:rPr>
        <w:t xml:space="preserve"> during the forecast period</w:t>
      </w:r>
      <w:r w:rsidR="00A61477">
        <w:rPr>
          <w:rFonts w:ascii="Times New Roman" w:hAnsi="Times New Roman" w:cs="Times New Roman"/>
          <w:sz w:val="24"/>
          <w:szCs w:val="24"/>
        </w:rPr>
        <w:t xml:space="preserve"> (2024</w:t>
      </w:r>
      <w:r w:rsidR="006D7D8A" w:rsidRPr="006D7D8A">
        <w:rPr>
          <w:rFonts w:ascii="Times New Roman" w:hAnsi="Times New Roman" w:cs="Times New Roman"/>
          <w:sz w:val="24"/>
          <w:szCs w:val="24"/>
        </w:rPr>
        <w:t>–2032).</w:t>
      </w:r>
    </w:p>
    <w:p w:rsidR="005E6888" w:rsidRPr="00A61477" w:rsidRDefault="005E6888" w:rsidP="00A61477">
      <w:pPr>
        <w:jc w:val="both"/>
        <w:rPr>
          <w:rFonts w:ascii="Calibri" w:eastAsia="Times New Roman" w:hAnsi="Calibri" w:cs="Calibri"/>
          <w:color w:val="000000"/>
        </w:rPr>
      </w:pPr>
      <w:bookmarkStart w:id="0" w:name="_GoBack"/>
      <w:r>
        <w:rPr>
          <w:rFonts w:ascii="Calibri" w:eastAsia="Times New Roman" w:hAnsi="Calibri" w:cs="Calibri"/>
          <w:noProof/>
          <w:color w:val="000000"/>
          <w:lang w:val="en-IN" w:eastAsia="en-IN"/>
        </w:rPr>
        <w:drawing>
          <wp:inline distT="0" distB="0" distL="0" distR="0">
            <wp:extent cx="5943600" cy="2963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rope Injectab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bookmarkEnd w:id="0"/>
    </w:p>
    <w:p w:rsidR="006D7D8A" w:rsidRPr="006D7D8A" w:rsidRDefault="006D7D8A" w:rsidP="006D7D8A">
      <w:pPr>
        <w:pStyle w:val="NormalWeb"/>
        <w:spacing w:line="360" w:lineRule="auto"/>
        <w:jc w:val="both"/>
        <w:rPr>
          <w:rStyle w:val="Strong"/>
        </w:rPr>
      </w:pPr>
      <w:r w:rsidRPr="006D7D8A">
        <w:rPr>
          <w:rStyle w:val="Strong"/>
        </w:rPr>
        <w:t>Europe Injectable Drug Delivery Market Definition</w:t>
      </w:r>
    </w:p>
    <w:p w:rsidR="006D7D8A" w:rsidRPr="006D7D8A" w:rsidRDefault="006D7D8A" w:rsidP="006D7D8A">
      <w:pPr>
        <w:pStyle w:val="NormalWeb"/>
        <w:spacing w:line="360" w:lineRule="auto"/>
        <w:jc w:val="both"/>
      </w:pPr>
      <w:r w:rsidRPr="006D7D8A">
        <w:t>Injectable drug delivery systems refer to devices and formulations that allow drugs to be administered through the skin using needles or other injection-based systems. These include syringes, injectors (auto, pen, prefilled), and formulations such as biologics, vaccines, and biosimilars. Injectable systems provide rapid onset of action, precise dosing, and enhanced bioavailability, making them crucial in chronic disease management, oncology, autoimmune disorders, and emergency medicine.</w:t>
      </w:r>
    </w:p>
    <w:p w:rsidR="006D7D8A" w:rsidRPr="006D7D8A" w:rsidRDefault="006D7D8A" w:rsidP="006D7D8A">
      <w:pPr>
        <w:pStyle w:val="NormalWeb"/>
        <w:spacing w:line="360" w:lineRule="auto"/>
        <w:jc w:val="both"/>
        <w:rPr>
          <w:rStyle w:val="Strong"/>
        </w:rPr>
      </w:pPr>
      <w:r w:rsidRPr="006D7D8A">
        <w:rPr>
          <w:rStyle w:val="Strong"/>
        </w:rPr>
        <w:t>Europe Injectable Drug Delivery Market Overview</w:t>
      </w:r>
    </w:p>
    <w:p w:rsidR="006D7D8A" w:rsidRPr="006D7D8A" w:rsidRDefault="006D7D8A" w:rsidP="006D7D8A">
      <w:pPr>
        <w:pStyle w:val="NormalWeb"/>
        <w:spacing w:line="360" w:lineRule="auto"/>
        <w:jc w:val="both"/>
      </w:pPr>
      <w:r w:rsidRPr="006D7D8A">
        <w:t>Europe is witnessing growing demand for injectable drug delivery driven by increasing prevalence of chronic diseases, rising use of biologics, and patient-centric innovations in self-administration devices. Germany, the UK, and France are leading the market due to robust healthcare systems, high adoption of novel therapeutics, and widespread use of prefilled syringes and auto</w:t>
      </w:r>
      <w:r w:rsidR="00F21FE7">
        <w:t>-</w:t>
      </w:r>
      <w:r w:rsidRPr="006D7D8A">
        <w:t xml:space="preserve">injectors. The rise of biosimilars, favorable reimbursement frameworks, and </w:t>
      </w:r>
      <w:r w:rsidRPr="006D7D8A">
        <w:lastRenderedPageBreak/>
        <w:t>technological innovations such as needle-free injectors are also contributing to the growth trajectory.</w:t>
      </w:r>
    </w:p>
    <w:p w:rsidR="006D7D8A" w:rsidRPr="006D7D8A" w:rsidRDefault="006D7D8A" w:rsidP="006D7D8A">
      <w:pPr>
        <w:pStyle w:val="NormalWeb"/>
        <w:spacing w:line="360" w:lineRule="auto"/>
        <w:jc w:val="both"/>
        <w:rPr>
          <w:rStyle w:val="Strong"/>
        </w:rPr>
      </w:pPr>
      <w:r w:rsidRPr="006D7D8A">
        <w:rPr>
          <w:rStyle w:val="Strong"/>
        </w:rPr>
        <w:t>Europe Injectable Drug Delivery Market Segmentation Analysis</w:t>
      </w:r>
    </w:p>
    <w:p w:rsidR="006D7D8A" w:rsidRPr="006D7D8A" w:rsidRDefault="006D7D8A" w:rsidP="006D7D8A">
      <w:pPr>
        <w:pStyle w:val="NormalWeb"/>
        <w:spacing w:line="360" w:lineRule="auto"/>
        <w:jc w:val="both"/>
      </w:pPr>
      <w:r w:rsidRPr="006D7D8A">
        <w:t>The Europe Injectable Drug Delivery Market is segmented based on Product Type, Application, End-user, and Geography.</w:t>
      </w:r>
    </w:p>
    <w:p w:rsidR="006D7D8A" w:rsidRPr="006D7D8A" w:rsidRDefault="006D7D8A" w:rsidP="006D7D8A">
      <w:pPr>
        <w:pStyle w:val="NormalWeb"/>
        <w:spacing w:line="360" w:lineRule="auto"/>
        <w:jc w:val="both"/>
      </w:pPr>
      <w:r w:rsidRPr="006D7D8A">
        <w:rPr>
          <w:rStyle w:val="Strong"/>
        </w:rPr>
        <w:t xml:space="preserve">Europe Injectable Drug Delivery Market </w:t>
      </w:r>
      <w:proofErr w:type="gramStart"/>
      <w:r w:rsidRPr="006D7D8A">
        <w:rPr>
          <w:rStyle w:val="Strong"/>
        </w:rPr>
        <w:t>By</w:t>
      </w:r>
      <w:proofErr w:type="gramEnd"/>
      <w:r w:rsidRPr="006D7D8A">
        <w:rPr>
          <w:rStyle w:val="Strong"/>
        </w:rPr>
        <w:t xml:space="preserve"> Product Type:</w:t>
      </w:r>
    </w:p>
    <w:p w:rsidR="006D7D8A" w:rsidRPr="006D7D8A" w:rsidRDefault="006D7D8A" w:rsidP="006D7D8A">
      <w:pPr>
        <w:pStyle w:val="NormalWeb"/>
        <w:numPr>
          <w:ilvl w:val="0"/>
          <w:numId w:val="9"/>
        </w:numPr>
        <w:spacing w:line="360" w:lineRule="auto"/>
        <w:jc w:val="both"/>
      </w:pPr>
      <w:r w:rsidRPr="006D7D8A">
        <w:t>Devices</w:t>
      </w:r>
    </w:p>
    <w:p w:rsidR="006D7D8A" w:rsidRPr="006D7D8A" w:rsidRDefault="006D7D8A" w:rsidP="006D7D8A">
      <w:pPr>
        <w:pStyle w:val="NormalWeb"/>
        <w:numPr>
          <w:ilvl w:val="1"/>
          <w:numId w:val="11"/>
        </w:numPr>
        <w:spacing w:line="360" w:lineRule="auto"/>
        <w:jc w:val="both"/>
      </w:pPr>
      <w:r w:rsidRPr="006D7D8A">
        <w:t>Conventional Syringes</w:t>
      </w:r>
    </w:p>
    <w:p w:rsidR="006D7D8A" w:rsidRPr="006D7D8A" w:rsidRDefault="006D7D8A" w:rsidP="006D7D8A">
      <w:pPr>
        <w:pStyle w:val="NormalWeb"/>
        <w:numPr>
          <w:ilvl w:val="1"/>
          <w:numId w:val="11"/>
        </w:numPr>
        <w:spacing w:line="360" w:lineRule="auto"/>
        <w:jc w:val="both"/>
      </w:pPr>
      <w:r w:rsidRPr="006D7D8A">
        <w:t>Prefilled Syringes</w:t>
      </w:r>
    </w:p>
    <w:p w:rsidR="006D7D8A" w:rsidRPr="006D7D8A" w:rsidRDefault="006D7D8A" w:rsidP="006D7D8A">
      <w:pPr>
        <w:pStyle w:val="NormalWeb"/>
        <w:numPr>
          <w:ilvl w:val="1"/>
          <w:numId w:val="11"/>
        </w:numPr>
        <w:spacing w:line="360" w:lineRule="auto"/>
        <w:jc w:val="both"/>
      </w:pPr>
      <w:proofErr w:type="spellStart"/>
      <w:r w:rsidRPr="006D7D8A">
        <w:t>Autoinjectors</w:t>
      </w:r>
      <w:proofErr w:type="spellEnd"/>
    </w:p>
    <w:p w:rsidR="006D7D8A" w:rsidRPr="006D7D8A" w:rsidRDefault="006D7D8A" w:rsidP="006D7D8A">
      <w:pPr>
        <w:pStyle w:val="NormalWeb"/>
        <w:numPr>
          <w:ilvl w:val="1"/>
          <w:numId w:val="11"/>
        </w:numPr>
        <w:spacing w:line="360" w:lineRule="auto"/>
        <w:jc w:val="both"/>
      </w:pPr>
      <w:r w:rsidRPr="006D7D8A">
        <w:t>Pen Injectors</w:t>
      </w:r>
    </w:p>
    <w:p w:rsidR="006D7D8A" w:rsidRPr="006D7D8A" w:rsidRDefault="006D7D8A" w:rsidP="006D7D8A">
      <w:pPr>
        <w:pStyle w:val="NormalWeb"/>
        <w:numPr>
          <w:ilvl w:val="1"/>
          <w:numId w:val="11"/>
        </w:numPr>
        <w:spacing w:line="360" w:lineRule="auto"/>
        <w:jc w:val="both"/>
      </w:pPr>
      <w:r w:rsidRPr="006D7D8A">
        <w:t>Needle-free Injectors</w:t>
      </w:r>
    </w:p>
    <w:p w:rsidR="006D7D8A" w:rsidRPr="006D7D8A" w:rsidRDefault="006D7D8A" w:rsidP="006D7D8A">
      <w:pPr>
        <w:pStyle w:val="NormalWeb"/>
        <w:numPr>
          <w:ilvl w:val="0"/>
          <w:numId w:val="9"/>
        </w:numPr>
        <w:spacing w:line="360" w:lineRule="auto"/>
        <w:jc w:val="both"/>
      </w:pPr>
      <w:r w:rsidRPr="006D7D8A">
        <w:t>Formulations</w:t>
      </w:r>
    </w:p>
    <w:p w:rsidR="006D7D8A" w:rsidRPr="006D7D8A" w:rsidRDefault="006D7D8A" w:rsidP="006D7D8A">
      <w:pPr>
        <w:pStyle w:val="NormalWeb"/>
        <w:numPr>
          <w:ilvl w:val="1"/>
          <w:numId w:val="10"/>
        </w:numPr>
        <w:spacing w:line="360" w:lineRule="auto"/>
        <w:jc w:val="both"/>
      </w:pPr>
      <w:r w:rsidRPr="006D7D8A">
        <w:t>Conventional Drugs</w:t>
      </w:r>
    </w:p>
    <w:p w:rsidR="006D7D8A" w:rsidRPr="006D7D8A" w:rsidRDefault="006D7D8A" w:rsidP="006D7D8A">
      <w:pPr>
        <w:pStyle w:val="NormalWeb"/>
        <w:numPr>
          <w:ilvl w:val="1"/>
          <w:numId w:val="10"/>
        </w:numPr>
        <w:spacing w:line="360" w:lineRule="auto"/>
        <w:jc w:val="both"/>
      </w:pPr>
      <w:r w:rsidRPr="006D7D8A">
        <w:t>Biologics and Biosimilars</w:t>
      </w:r>
    </w:p>
    <w:p w:rsidR="006D7D8A" w:rsidRPr="006D7D8A" w:rsidRDefault="006D7D8A" w:rsidP="006D7D8A">
      <w:pPr>
        <w:pStyle w:val="NormalWeb"/>
        <w:numPr>
          <w:ilvl w:val="1"/>
          <w:numId w:val="10"/>
        </w:numPr>
        <w:spacing w:line="360" w:lineRule="auto"/>
        <w:jc w:val="both"/>
      </w:pPr>
      <w:r w:rsidRPr="006D7D8A">
        <w:t>Vaccines</w:t>
      </w:r>
    </w:p>
    <w:p w:rsidR="006D7D8A" w:rsidRPr="006D7D8A" w:rsidRDefault="006D7D8A" w:rsidP="006D7D8A">
      <w:pPr>
        <w:pStyle w:val="NormalWeb"/>
        <w:spacing w:line="360" w:lineRule="auto"/>
        <w:jc w:val="both"/>
      </w:pPr>
      <w:r w:rsidRPr="006D7D8A">
        <w:t xml:space="preserve">Prefilled syringes and </w:t>
      </w:r>
      <w:proofErr w:type="spellStart"/>
      <w:r w:rsidRPr="006D7D8A">
        <w:t>autoinjectors</w:t>
      </w:r>
      <w:proofErr w:type="spellEnd"/>
      <w:r w:rsidRPr="006D7D8A">
        <w:t xml:space="preserve"> are dominating due to ease of use, safety, and compatibility with biologics. The market is also experiencing increased interest in needle-free technologies for </w:t>
      </w:r>
      <w:r w:rsidRPr="006D7D8A">
        <w:rPr>
          <w:noProof/>
          <w:lang w:val="en-IN" w:eastAsia="en-IN"/>
        </w:rPr>
        <w:drawing>
          <wp:anchor distT="0" distB="0" distL="0" distR="0" simplePos="0" relativeHeight="251661312" behindDoc="1" locked="0" layoutInCell="1" allowOverlap="1">
            <wp:simplePos x="0" y="0"/>
            <wp:positionH relativeFrom="page">
              <wp:posOffset>-518160</wp:posOffset>
            </wp:positionH>
            <wp:positionV relativeFrom="page">
              <wp:posOffset>-1173480</wp:posOffset>
            </wp:positionV>
            <wp:extent cx="10222230" cy="14455140"/>
            <wp:effectExtent l="0" t="0" r="381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r w:rsidRPr="006D7D8A">
        <w:t>reducing pain and needle anxiety. In addition, wearable injectors and connected delivery systems are gaining traction, enabling real-time monitoring and improved patient adherence. Innovations such as dual-chamber syringes for lyophilized biologics, ergonomic designs for elderly patients, and smart packaging that tracks usage are reshaping the landscape. The focus on sustainability has led to the development of biodegradable components, while regulatory support is encouraging the integration of advanced technologies to enhance safety, precision, and user comfort.</w:t>
      </w:r>
    </w:p>
    <w:p w:rsidR="006D7D8A" w:rsidRPr="006D7D8A" w:rsidRDefault="006D7D8A" w:rsidP="006D7D8A">
      <w:pPr>
        <w:pStyle w:val="NormalWeb"/>
        <w:spacing w:line="360" w:lineRule="auto"/>
        <w:jc w:val="both"/>
      </w:pPr>
      <w:r w:rsidRPr="006D7D8A">
        <w:rPr>
          <w:rStyle w:val="Strong"/>
        </w:rPr>
        <w:lastRenderedPageBreak/>
        <w:t xml:space="preserve">Europe Injectable Drug Delivery Market </w:t>
      </w:r>
      <w:proofErr w:type="gramStart"/>
      <w:r w:rsidRPr="006D7D8A">
        <w:rPr>
          <w:rStyle w:val="Strong"/>
        </w:rPr>
        <w:t>By</w:t>
      </w:r>
      <w:proofErr w:type="gramEnd"/>
      <w:r w:rsidRPr="006D7D8A">
        <w:rPr>
          <w:rStyle w:val="Strong"/>
        </w:rPr>
        <w:t xml:space="preserve"> Application:</w:t>
      </w:r>
    </w:p>
    <w:p w:rsidR="006D7D8A" w:rsidRPr="006D7D8A" w:rsidRDefault="006D7D8A" w:rsidP="006D7D8A">
      <w:pPr>
        <w:pStyle w:val="NormalWeb"/>
        <w:numPr>
          <w:ilvl w:val="0"/>
          <w:numId w:val="2"/>
        </w:numPr>
        <w:spacing w:line="360" w:lineRule="auto"/>
        <w:jc w:val="both"/>
      </w:pPr>
      <w:r w:rsidRPr="006D7D8A">
        <w:t>Oncology</w:t>
      </w:r>
    </w:p>
    <w:p w:rsidR="006D7D8A" w:rsidRPr="006D7D8A" w:rsidRDefault="006D7D8A" w:rsidP="006D7D8A">
      <w:pPr>
        <w:pStyle w:val="NormalWeb"/>
        <w:numPr>
          <w:ilvl w:val="0"/>
          <w:numId w:val="2"/>
        </w:numPr>
        <w:spacing w:line="360" w:lineRule="auto"/>
        <w:jc w:val="both"/>
      </w:pPr>
      <w:r w:rsidRPr="006D7D8A">
        <w:t>Autoimmune Disorders</w:t>
      </w:r>
    </w:p>
    <w:p w:rsidR="006D7D8A" w:rsidRPr="006D7D8A" w:rsidRDefault="006D7D8A" w:rsidP="006D7D8A">
      <w:pPr>
        <w:pStyle w:val="NormalWeb"/>
        <w:numPr>
          <w:ilvl w:val="0"/>
          <w:numId w:val="2"/>
        </w:numPr>
        <w:spacing w:line="360" w:lineRule="auto"/>
        <w:jc w:val="both"/>
      </w:pPr>
      <w:r w:rsidRPr="006D7D8A">
        <w:t>Hormonal Disorders</w:t>
      </w:r>
    </w:p>
    <w:p w:rsidR="006D7D8A" w:rsidRPr="006D7D8A" w:rsidRDefault="006D7D8A" w:rsidP="006D7D8A">
      <w:pPr>
        <w:pStyle w:val="NormalWeb"/>
        <w:numPr>
          <w:ilvl w:val="0"/>
          <w:numId w:val="2"/>
        </w:numPr>
        <w:spacing w:line="360" w:lineRule="auto"/>
        <w:jc w:val="both"/>
      </w:pPr>
      <w:r w:rsidRPr="006D7D8A">
        <w:t>Cardiovascular Diseases</w:t>
      </w:r>
    </w:p>
    <w:p w:rsidR="006D7D8A" w:rsidRPr="006D7D8A" w:rsidRDefault="006D7D8A" w:rsidP="006D7D8A">
      <w:pPr>
        <w:pStyle w:val="NormalWeb"/>
        <w:numPr>
          <w:ilvl w:val="0"/>
          <w:numId w:val="2"/>
        </w:numPr>
        <w:spacing w:line="360" w:lineRule="auto"/>
        <w:jc w:val="both"/>
      </w:pPr>
      <w:r w:rsidRPr="006D7D8A">
        <w:t>Infectious Diseases</w:t>
      </w:r>
    </w:p>
    <w:p w:rsidR="006D7D8A" w:rsidRPr="006D7D8A" w:rsidRDefault="006D7D8A" w:rsidP="006D7D8A">
      <w:pPr>
        <w:pStyle w:val="NormalWeb"/>
        <w:numPr>
          <w:ilvl w:val="0"/>
          <w:numId w:val="2"/>
        </w:numPr>
        <w:spacing w:line="360" w:lineRule="auto"/>
        <w:jc w:val="both"/>
      </w:pPr>
      <w:r w:rsidRPr="006D7D8A">
        <w:t>Others</w:t>
      </w:r>
    </w:p>
    <w:p w:rsidR="006D7D8A" w:rsidRPr="006D7D8A" w:rsidRDefault="006D7D8A" w:rsidP="006D7D8A">
      <w:pPr>
        <w:pStyle w:val="NormalWeb"/>
        <w:spacing w:line="360" w:lineRule="auto"/>
        <w:ind w:left="720"/>
        <w:jc w:val="both"/>
      </w:pPr>
    </w:p>
    <w:p w:rsidR="006D7D8A" w:rsidRPr="006D7D8A" w:rsidRDefault="006D7D8A" w:rsidP="006D7D8A">
      <w:pPr>
        <w:spacing w:before="100" w:beforeAutospacing="1" w:after="100" w:afterAutospacing="1" w:line="360" w:lineRule="auto"/>
        <w:jc w:val="both"/>
        <w:rPr>
          <w:rFonts w:ascii="Times New Roman" w:eastAsia="Times New Roman" w:hAnsi="Times New Roman" w:cs="Times New Roman"/>
          <w:sz w:val="24"/>
          <w:szCs w:val="24"/>
        </w:rPr>
      </w:pPr>
      <w:r w:rsidRPr="006D7D8A">
        <w:rPr>
          <w:rFonts w:ascii="Times New Roman" w:eastAsia="Times New Roman" w:hAnsi="Times New Roman" w:cs="Times New Roman"/>
          <w:sz w:val="24"/>
          <w:szCs w:val="24"/>
        </w:rPr>
        <w:t xml:space="preserve">The oncology segment holds a major share in the European injectable drug delivery market, primarily due to the rising prevalence of various cancers and the increasing adoption of biologics and targeted therapies. These therapies often require precise, controlled, and sustained delivery, which is best achieved through injectable routes, particularly using advanced systems like prefilled syringes and </w:t>
      </w:r>
      <w:proofErr w:type="spellStart"/>
      <w:r w:rsidRPr="006D7D8A">
        <w:rPr>
          <w:rFonts w:ascii="Times New Roman" w:eastAsia="Times New Roman" w:hAnsi="Times New Roman" w:cs="Times New Roman"/>
          <w:sz w:val="24"/>
          <w:szCs w:val="24"/>
        </w:rPr>
        <w:t>autoinjectors</w:t>
      </w:r>
      <w:proofErr w:type="spellEnd"/>
      <w:r w:rsidRPr="006D7D8A">
        <w:rPr>
          <w:rFonts w:ascii="Times New Roman" w:eastAsia="Times New Roman" w:hAnsi="Times New Roman" w:cs="Times New Roman"/>
          <w:sz w:val="24"/>
          <w:szCs w:val="24"/>
        </w:rPr>
        <w:t>. Many oncology drugs, including monoclonal antibodies and immune checkpoint inhibitors, are administered via injection, supporting the continued dominance of this segment.</w:t>
      </w:r>
    </w:p>
    <w:p w:rsidR="006D7D8A" w:rsidRPr="006D7D8A" w:rsidRDefault="006D7D8A" w:rsidP="006D7D8A">
      <w:pPr>
        <w:spacing w:before="100" w:beforeAutospacing="1" w:after="100" w:afterAutospacing="1" w:line="360" w:lineRule="auto"/>
        <w:jc w:val="both"/>
        <w:rPr>
          <w:rFonts w:ascii="Times New Roman" w:eastAsia="Times New Roman" w:hAnsi="Times New Roman" w:cs="Times New Roman"/>
          <w:sz w:val="24"/>
          <w:szCs w:val="24"/>
        </w:rPr>
      </w:pPr>
      <w:r w:rsidRPr="006D7D8A">
        <w:rPr>
          <w:rFonts w:ascii="Times New Roman" w:eastAsia="Times New Roman" w:hAnsi="Times New Roman" w:cs="Times New Roman"/>
          <w:sz w:val="24"/>
          <w:szCs w:val="24"/>
        </w:rPr>
        <w:t xml:space="preserve">Beyond oncology, autoimmune diseases such as rheumatoid arthritis, multiple sclerosis, and Crohn’s disease are witnessing growing treatment needs. The development of long-acting </w:t>
      </w:r>
      <w:proofErr w:type="spellStart"/>
      <w:r w:rsidRPr="006D7D8A">
        <w:rPr>
          <w:rFonts w:ascii="Times New Roman" w:eastAsia="Times New Roman" w:hAnsi="Times New Roman" w:cs="Times New Roman"/>
          <w:sz w:val="24"/>
          <w:szCs w:val="24"/>
        </w:rPr>
        <w:t>injectables</w:t>
      </w:r>
      <w:proofErr w:type="spellEnd"/>
      <w:r w:rsidRPr="006D7D8A">
        <w:rPr>
          <w:rFonts w:ascii="Times New Roman" w:eastAsia="Times New Roman" w:hAnsi="Times New Roman" w:cs="Times New Roman"/>
          <w:sz w:val="24"/>
          <w:szCs w:val="24"/>
        </w:rPr>
        <w:t xml:space="preserve"> that reduce dosing frequency is improving patient adherence and enabling better disease management, particularly in home-care settings. Additionally, the infectious disease segment is gaining momentum due to robust vaccination campaigns and increased investments in vaccine R&amp;D following the COVID-19 pandemic. Injectable vaccines remain the gold standard for effective immunization and are being enhanced with novel delivery platforms to simplify administration and storage.</w:t>
      </w:r>
      <w:r w:rsidRPr="006D7D8A">
        <w:rPr>
          <w:noProof/>
        </w:rPr>
        <w:t xml:space="preserve"> </w:t>
      </w:r>
      <w:r w:rsidRPr="006D7D8A">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-365760</wp:posOffset>
            </wp:positionH>
            <wp:positionV relativeFrom="page">
              <wp:posOffset>-1021080</wp:posOffset>
            </wp:positionV>
            <wp:extent cx="10222230" cy="14455140"/>
            <wp:effectExtent l="0" t="0" r="381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6D7D8A" w:rsidRPr="006D7D8A" w:rsidRDefault="006D7D8A" w:rsidP="006D7D8A">
      <w:pPr>
        <w:spacing w:before="100" w:beforeAutospacing="1" w:after="100" w:afterAutospacing="1" w:line="360" w:lineRule="auto"/>
        <w:jc w:val="both"/>
        <w:rPr>
          <w:rFonts w:ascii="Times New Roman" w:eastAsia="Times New Roman" w:hAnsi="Times New Roman" w:cs="Times New Roman"/>
          <w:sz w:val="24"/>
          <w:szCs w:val="24"/>
        </w:rPr>
      </w:pPr>
      <w:r w:rsidRPr="006D7D8A">
        <w:rPr>
          <w:rFonts w:ascii="Times New Roman" w:eastAsia="Times New Roman" w:hAnsi="Times New Roman" w:cs="Times New Roman"/>
          <w:sz w:val="24"/>
          <w:szCs w:val="24"/>
        </w:rPr>
        <w:t>Overall, the rising burden of chronic and infectious diseases, coupled with advancements in drug formulations and delivery technologies, is expanding the application landscape of injectable drug delivery systems across diverse therapeutic areas in Europe.</w:t>
      </w:r>
    </w:p>
    <w:p w:rsidR="006D7D8A" w:rsidRPr="006D7D8A" w:rsidRDefault="006D7D8A" w:rsidP="006D7D8A">
      <w:pPr>
        <w:pStyle w:val="NormalWeb"/>
        <w:spacing w:line="360" w:lineRule="auto"/>
        <w:jc w:val="both"/>
      </w:pPr>
      <w:r w:rsidRPr="006D7D8A">
        <w:rPr>
          <w:rStyle w:val="Strong"/>
        </w:rPr>
        <w:t xml:space="preserve">Europe Injectable Drug Delivery Market </w:t>
      </w:r>
      <w:proofErr w:type="gramStart"/>
      <w:r w:rsidRPr="006D7D8A">
        <w:rPr>
          <w:rStyle w:val="Strong"/>
        </w:rPr>
        <w:t>By</w:t>
      </w:r>
      <w:proofErr w:type="gramEnd"/>
      <w:r w:rsidRPr="006D7D8A">
        <w:rPr>
          <w:rStyle w:val="Strong"/>
        </w:rPr>
        <w:t xml:space="preserve"> End-user:</w:t>
      </w:r>
    </w:p>
    <w:p w:rsidR="006D7D8A" w:rsidRPr="006D7D8A" w:rsidRDefault="006D7D8A" w:rsidP="006D7D8A">
      <w:pPr>
        <w:pStyle w:val="NormalWeb"/>
        <w:numPr>
          <w:ilvl w:val="0"/>
          <w:numId w:val="3"/>
        </w:numPr>
        <w:spacing w:line="360" w:lineRule="auto"/>
        <w:jc w:val="both"/>
      </w:pPr>
      <w:r w:rsidRPr="006D7D8A">
        <w:lastRenderedPageBreak/>
        <w:t>Hospitals</w:t>
      </w:r>
    </w:p>
    <w:p w:rsidR="006D7D8A" w:rsidRPr="006D7D8A" w:rsidRDefault="006D7D8A" w:rsidP="006D7D8A">
      <w:pPr>
        <w:pStyle w:val="NormalWeb"/>
        <w:numPr>
          <w:ilvl w:val="0"/>
          <w:numId w:val="3"/>
        </w:numPr>
        <w:spacing w:line="360" w:lineRule="auto"/>
        <w:jc w:val="both"/>
      </w:pPr>
      <w:r w:rsidRPr="006D7D8A">
        <w:t>Homecare Settings</w:t>
      </w:r>
    </w:p>
    <w:p w:rsidR="006D7D8A" w:rsidRPr="006D7D8A" w:rsidRDefault="006D7D8A" w:rsidP="006D7D8A">
      <w:pPr>
        <w:pStyle w:val="NormalWeb"/>
        <w:numPr>
          <w:ilvl w:val="0"/>
          <w:numId w:val="3"/>
        </w:numPr>
        <w:spacing w:line="360" w:lineRule="auto"/>
        <w:jc w:val="both"/>
      </w:pPr>
      <w:r w:rsidRPr="006D7D8A">
        <w:t>Ambulatory Surgical Centers</w:t>
      </w:r>
    </w:p>
    <w:p w:rsidR="006D7D8A" w:rsidRPr="006D7D8A" w:rsidRDefault="006D7D8A" w:rsidP="006D7D8A">
      <w:pPr>
        <w:pStyle w:val="NormalWeb"/>
        <w:numPr>
          <w:ilvl w:val="0"/>
          <w:numId w:val="3"/>
        </w:numPr>
        <w:spacing w:line="360" w:lineRule="auto"/>
        <w:jc w:val="both"/>
      </w:pPr>
      <w:r w:rsidRPr="006D7D8A">
        <w:t>Clinics</w:t>
      </w:r>
    </w:p>
    <w:p w:rsidR="006D7D8A" w:rsidRPr="006D7D8A" w:rsidRDefault="006D7D8A" w:rsidP="006D7D8A">
      <w:pPr>
        <w:pStyle w:val="NormalWeb"/>
        <w:spacing w:line="360" w:lineRule="auto"/>
        <w:jc w:val="both"/>
      </w:pPr>
      <w:r w:rsidRPr="006D7D8A">
        <w:t>Hospitals dominate the segment due to the volume of inpatient treatments and biologic drug administration. However, homecare settings are witnessing significant growth due to innovations in self-injectable drug delivery systems and patient convenience.</w:t>
      </w:r>
    </w:p>
    <w:p w:rsidR="006D7D8A" w:rsidRPr="006D7D8A" w:rsidRDefault="006D7D8A" w:rsidP="006D7D8A">
      <w:pPr>
        <w:pStyle w:val="NormalWeb"/>
        <w:spacing w:line="360" w:lineRule="auto"/>
        <w:jc w:val="both"/>
      </w:pPr>
      <w:r w:rsidRPr="006D7D8A">
        <w:rPr>
          <w:rStyle w:val="Strong"/>
        </w:rPr>
        <w:t>Europe Injectable Drug Delivery Market, By Country:</w:t>
      </w:r>
    </w:p>
    <w:p w:rsidR="006D7D8A" w:rsidRPr="006D7D8A" w:rsidRDefault="006D7D8A" w:rsidP="006D7D8A">
      <w:pPr>
        <w:pStyle w:val="NormalWeb"/>
        <w:numPr>
          <w:ilvl w:val="0"/>
          <w:numId w:val="4"/>
        </w:numPr>
        <w:spacing w:line="360" w:lineRule="auto"/>
        <w:jc w:val="both"/>
      </w:pPr>
      <w:r w:rsidRPr="006D7D8A">
        <w:t>Germany</w:t>
      </w:r>
      <w:r w:rsidR="00250F21" w:rsidRPr="00250F21">
        <w:rPr>
          <w:noProof/>
          <w:lang w:val="en-IN" w:eastAsia="en-IN"/>
        </w:rPr>
        <w:drawing>
          <wp:anchor distT="0" distB="0" distL="0" distR="0" simplePos="0" relativeHeight="251677696" behindDoc="1" locked="0" layoutInCell="1" allowOverlap="1">
            <wp:simplePos x="0" y="0"/>
            <wp:positionH relativeFrom="page">
              <wp:posOffset>-213360</wp:posOffset>
            </wp:positionH>
            <wp:positionV relativeFrom="page">
              <wp:posOffset>-868680</wp:posOffset>
            </wp:positionV>
            <wp:extent cx="10222230" cy="14455140"/>
            <wp:effectExtent l="0" t="0" r="3810" b="0"/>
            <wp:wrapNone/>
            <wp:docPr id="2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6D7D8A" w:rsidRPr="006D7D8A" w:rsidRDefault="006D7D8A" w:rsidP="006D7D8A">
      <w:pPr>
        <w:pStyle w:val="NormalWeb"/>
        <w:numPr>
          <w:ilvl w:val="0"/>
          <w:numId w:val="4"/>
        </w:numPr>
        <w:spacing w:line="360" w:lineRule="auto"/>
        <w:jc w:val="both"/>
      </w:pPr>
      <w:r w:rsidRPr="006D7D8A">
        <w:t>UK</w:t>
      </w:r>
    </w:p>
    <w:p w:rsidR="006D7D8A" w:rsidRPr="006D7D8A" w:rsidRDefault="006D7D8A" w:rsidP="006D7D8A">
      <w:pPr>
        <w:pStyle w:val="NormalWeb"/>
        <w:numPr>
          <w:ilvl w:val="0"/>
          <w:numId w:val="4"/>
        </w:numPr>
        <w:spacing w:line="360" w:lineRule="auto"/>
        <w:jc w:val="both"/>
      </w:pPr>
      <w:r w:rsidRPr="006D7D8A">
        <w:t>France</w:t>
      </w:r>
    </w:p>
    <w:p w:rsidR="006D7D8A" w:rsidRPr="006D7D8A" w:rsidRDefault="006D7D8A" w:rsidP="006D7D8A">
      <w:pPr>
        <w:pStyle w:val="NormalWeb"/>
        <w:numPr>
          <w:ilvl w:val="0"/>
          <w:numId w:val="4"/>
        </w:numPr>
        <w:spacing w:line="360" w:lineRule="auto"/>
        <w:jc w:val="both"/>
      </w:pPr>
      <w:r w:rsidRPr="006D7D8A">
        <w:t>Italy</w:t>
      </w:r>
    </w:p>
    <w:p w:rsidR="006D7D8A" w:rsidRPr="006D7D8A" w:rsidRDefault="006D7D8A" w:rsidP="006D7D8A">
      <w:pPr>
        <w:pStyle w:val="NormalWeb"/>
        <w:numPr>
          <w:ilvl w:val="0"/>
          <w:numId w:val="4"/>
        </w:numPr>
        <w:spacing w:line="360" w:lineRule="auto"/>
        <w:jc w:val="both"/>
      </w:pPr>
      <w:r w:rsidRPr="006D7D8A">
        <w:t>Spain</w:t>
      </w:r>
    </w:p>
    <w:p w:rsidR="006D7D8A" w:rsidRPr="006D7D8A" w:rsidRDefault="006D7D8A" w:rsidP="006D7D8A">
      <w:pPr>
        <w:pStyle w:val="NormalWeb"/>
        <w:numPr>
          <w:ilvl w:val="0"/>
          <w:numId w:val="4"/>
        </w:numPr>
        <w:spacing w:line="360" w:lineRule="auto"/>
        <w:jc w:val="both"/>
      </w:pPr>
      <w:r w:rsidRPr="006D7D8A">
        <w:t>Rest of Europe</w:t>
      </w:r>
    </w:p>
    <w:p w:rsidR="006D7D8A" w:rsidRPr="006D7D8A" w:rsidRDefault="006D7D8A" w:rsidP="006D7D8A">
      <w:pPr>
        <w:pStyle w:val="NormalWeb"/>
        <w:spacing w:line="360" w:lineRule="auto"/>
        <w:jc w:val="both"/>
      </w:pPr>
      <w:r w:rsidRPr="006D7D8A">
        <w:t>Germany is the leading country in the European injectable drug delivery market due to its high healthcare spending, well-established biopharma sector, and strong regulatory framework. The UK and France are rapidly growing with rising penetration of biosimilars and expanded self-injection programs.</w:t>
      </w:r>
    </w:p>
    <w:p w:rsidR="006D7D8A" w:rsidRPr="006D7D8A" w:rsidRDefault="006D7D8A" w:rsidP="006D7D8A">
      <w:pPr>
        <w:pStyle w:val="NormalWeb"/>
        <w:spacing w:line="360" w:lineRule="auto"/>
        <w:jc w:val="both"/>
      </w:pPr>
      <w:r w:rsidRPr="006D7D8A">
        <w:rPr>
          <w:rStyle w:val="Strong"/>
        </w:rPr>
        <w:t>Key Players</w:t>
      </w:r>
      <w:r w:rsidRPr="006D7D8A">
        <w:t xml:space="preserve"> Prominent players in the Europe Injectable Drug Delivery Market include:</w:t>
      </w:r>
    </w:p>
    <w:p w:rsidR="006D7D8A" w:rsidRPr="006D7D8A" w:rsidRDefault="006D7D8A" w:rsidP="006D7D8A">
      <w:pPr>
        <w:pStyle w:val="NormalWeb"/>
        <w:numPr>
          <w:ilvl w:val="0"/>
          <w:numId w:val="5"/>
        </w:numPr>
        <w:spacing w:line="360" w:lineRule="auto"/>
        <w:jc w:val="both"/>
      </w:pPr>
      <w:r w:rsidRPr="006D7D8A">
        <w:t>Becton, Dickinson and Company (BD)</w:t>
      </w:r>
    </w:p>
    <w:p w:rsidR="006D7D8A" w:rsidRPr="006D7D8A" w:rsidRDefault="006D7D8A" w:rsidP="006D7D8A">
      <w:pPr>
        <w:pStyle w:val="NormalWeb"/>
        <w:numPr>
          <w:ilvl w:val="0"/>
          <w:numId w:val="5"/>
        </w:numPr>
        <w:spacing w:line="360" w:lineRule="auto"/>
        <w:jc w:val="both"/>
      </w:pPr>
      <w:proofErr w:type="spellStart"/>
      <w:r w:rsidRPr="006D7D8A">
        <w:t>Gerresheimer</w:t>
      </w:r>
      <w:proofErr w:type="spellEnd"/>
      <w:r w:rsidRPr="006D7D8A">
        <w:t xml:space="preserve"> AG</w:t>
      </w:r>
    </w:p>
    <w:p w:rsidR="006D7D8A" w:rsidRPr="006D7D8A" w:rsidRDefault="006D7D8A" w:rsidP="006D7D8A">
      <w:pPr>
        <w:pStyle w:val="NormalWeb"/>
        <w:numPr>
          <w:ilvl w:val="0"/>
          <w:numId w:val="5"/>
        </w:numPr>
        <w:spacing w:line="360" w:lineRule="auto"/>
        <w:jc w:val="both"/>
      </w:pPr>
      <w:r w:rsidRPr="006D7D8A">
        <w:t>SCHOTT AG</w:t>
      </w:r>
    </w:p>
    <w:p w:rsidR="006D7D8A" w:rsidRPr="006D7D8A" w:rsidRDefault="006D7D8A" w:rsidP="006D7D8A">
      <w:pPr>
        <w:pStyle w:val="NormalWeb"/>
        <w:numPr>
          <w:ilvl w:val="0"/>
          <w:numId w:val="5"/>
        </w:numPr>
        <w:spacing w:line="360" w:lineRule="auto"/>
        <w:jc w:val="both"/>
      </w:pPr>
      <w:r w:rsidRPr="006D7D8A">
        <w:t>Eli Lilly and Company</w:t>
      </w:r>
    </w:p>
    <w:p w:rsidR="006D7D8A" w:rsidRPr="006D7D8A" w:rsidRDefault="006D7D8A" w:rsidP="006D7D8A">
      <w:pPr>
        <w:pStyle w:val="NormalWeb"/>
        <w:numPr>
          <w:ilvl w:val="0"/>
          <w:numId w:val="5"/>
        </w:numPr>
        <w:spacing w:line="360" w:lineRule="auto"/>
        <w:jc w:val="both"/>
      </w:pPr>
      <w:r w:rsidRPr="006D7D8A">
        <w:t>Pfizer Inc.</w:t>
      </w:r>
    </w:p>
    <w:p w:rsidR="006D7D8A" w:rsidRPr="006D7D8A" w:rsidRDefault="006D7D8A" w:rsidP="006D7D8A">
      <w:pPr>
        <w:pStyle w:val="NormalWeb"/>
        <w:numPr>
          <w:ilvl w:val="0"/>
          <w:numId w:val="5"/>
        </w:numPr>
        <w:spacing w:line="360" w:lineRule="auto"/>
        <w:jc w:val="both"/>
      </w:pPr>
      <w:proofErr w:type="spellStart"/>
      <w:r w:rsidRPr="006D7D8A">
        <w:t>Ypsomed</w:t>
      </w:r>
      <w:proofErr w:type="spellEnd"/>
      <w:r w:rsidRPr="006D7D8A">
        <w:t xml:space="preserve"> Holding AG</w:t>
      </w:r>
    </w:p>
    <w:p w:rsidR="006D7D8A" w:rsidRPr="006D7D8A" w:rsidRDefault="006D7D8A" w:rsidP="006D7D8A">
      <w:pPr>
        <w:pStyle w:val="NormalWeb"/>
        <w:spacing w:line="360" w:lineRule="auto"/>
        <w:jc w:val="both"/>
      </w:pPr>
      <w:r w:rsidRPr="006D7D8A">
        <w:rPr>
          <w:rStyle w:val="Strong"/>
        </w:rPr>
        <w:t>Key Developments</w:t>
      </w:r>
    </w:p>
    <w:p w:rsidR="006D7D8A" w:rsidRDefault="006D7D8A" w:rsidP="006D7D8A">
      <w:pPr>
        <w:pStyle w:val="NormalWeb"/>
        <w:numPr>
          <w:ilvl w:val="0"/>
          <w:numId w:val="6"/>
        </w:numPr>
        <w:spacing w:line="360" w:lineRule="auto"/>
        <w:jc w:val="both"/>
      </w:pPr>
      <w:r w:rsidRPr="006D7D8A">
        <w:lastRenderedPageBreak/>
        <w:t>In 2024, BD launched a next-gen prefilled syringe platform designed for biologic drugs.</w:t>
      </w:r>
    </w:p>
    <w:p w:rsidR="00E07CBB" w:rsidRPr="006D7D8A" w:rsidRDefault="00E07CBB" w:rsidP="006D7D8A">
      <w:pPr>
        <w:pStyle w:val="NormalWeb"/>
        <w:numPr>
          <w:ilvl w:val="0"/>
          <w:numId w:val="6"/>
        </w:numPr>
        <w:spacing w:line="360" w:lineRule="auto"/>
        <w:jc w:val="both"/>
      </w:pPr>
      <w:r>
        <w:t xml:space="preserve">In December 2024, </w:t>
      </w:r>
      <w:proofErr w:type="spellStart"/>
      <w:r>
        <w:t>Stablepharma's</w:t>
      </w:r>
      <w:proofErr w:type="spellEnd"/>
      <w:r>
        <w:t xml:space="preserve"> Fridge-Free Vaccine Technology submitted a Clinical Trial Application for SPVX02, a booster vaccine for tetanus and diphtheria, to the UK's Medicines and Healthcare products Regulatory Agency (MHRA).</w:t>
      </w:r>
    </w:p>
    <w:p w:rsidR="00E07CBB" w:rsidRDefault="00E07CBB" w:rsidP="006D7D8A">
      <w:pPr>
        <w:pStyle w:val="NormalWeb"/>
        <w:numPr>
          <w:ilvl w:val="0"/>
          <w:numId w:val="6"/>
        </w:numPr>
        <w:spacing w:line="360" w:lineRule="auto"/>
        <w:jc w:val="both"/>
      </w:pPr>
      <w:r>
        <w:t>​</w:t>
      </w:r>
      <w:r>
        <w:rPr>
          <w:rStyle w:val="relative"/>
        </w:rPr>
        <w:t>In 2024, Pfizer expanded its biosimilar injectable portfolio across major EU markets through strategic licensing agreements and regulatory advancements.</w:t>
      </w:r>
      <w:r>
        <w:t xml:space="preserve"> </w:t>
      </w:r>
    </w:p>
    <w:p w:rsidR="006D7D8A" w:rsidRPr="006D7D8A" w:rsidRDefault="006D7D8A" w:rsidP="006D7D8A">
      <w:pPr>
        <w:pStyle w:val="NormalWeb"/>
        <w:spacing w:line="360" w:lineRule="auto"/>
        <w:jc w:val="both"/>
      </w:pPr>
      <w:r w:rsidRPr="006D7D8A">
        <w:rPr>
          <w:rStyle w:val="Strong"/>
        </w:rPr>
        <w:t>Market Attractiveness</w:t>
      </w:r>
      <w:r w:rsidRPr="006D7D8A">
        <w:t xml:space="preserve"> Western Europe remains the dominant region due to strong pharmaceutical manufacturing and innovation ecosystems. Eastern European markets are catching up due to improving healthcare access and pharmaceutical investments.</w:t>
      </w:r>
    </w:p>
    <w:p w:rsidR="006D7D8A" w:rsidRPr="006D7D8A" w:rsidRDefault="006D7D8A" w:rsidP="006D7D8A">
      <w:pPr>
        <w:pStyle w:val="NormalWeb"/>
        <w:spacing w:line="360" w:lineRule="auto"/>
        <w:jc w:val="both"/>
      </w:pPr>
      <w:r w:rsidRPr="006D7D8A">
        <w:rPr>
          <w:rStyle w:val="Strong"/>
        </w:rPr>
        <w:t>Porter’s Five Forces</w:t>
      </w:r>
    </w:p>
    <w:p w:rsidR="006D7D8A" w:rsidRPr="006D7D8A" w:rsidRDefault="006D7D8A" w:rsidP="006D7D8A">
      <w:pPr>
        <w:pStyle w:val="NormalWeb"/>
        <w:numPr>
          <w:ilvl w:val="0"/>
          <w:numId w:val="7"/>
        </w:numPr>
        <w:spacing w:line="360" w:lineRule="auto"/>
        <w:jc w:val="both"/>
      </w:pPr>
      <w:r w:rsidRPr="006D7D8A">
        <w:t>Threat of New Entrants – Moderate, due to regulatory challenges and technology requirements</w:t>
      </w:r>
    </w:p>
    <w:p w:rsidR="006D7D8A" w:rsidRPr="006D7D8A" w:rsidRDefault="006D7D8A" w:rsidP="006D7D8A">
      <w:pPr>
        <w:pStyle w:val="NormalWeb"/>
        <w:numPr>
          <w:ilvl w:val="0"/>
          <w:numId w:val="7"/>
        </w:numPr>
        <w:spacing w:line="360" w:lineRule="auto"/>
        <w:jc w:val="both"/>
      </w:pPr>
      <w:r w:rsidRPr="006D7D8A">
        <w:t>Bargaining Power of Buyers – High due to bulk procurement by healthcare systems</w:t>
      </w:r>
    </w:p>
    <w:p w:rsidR="006D7D8A" w:rsidRPr="006D7D8A" w:rsidRDefault="006D7D8A" w:rsidP="006D7D8A">
      <w:pPr>
        <w:pStyle w:val="NormalWeb"/>
        <w:numPr>
          <w:ilvl w:val="0"/>
          <w:numId w:val="7"/>
        </w:numPr>
        <w:spacing w:line="360" w:lineRule="auto"/>
        <w:jc w:val="both"/>
      </w:pPr>
      <w:r w:rsidRPr="006D7D8A">
        <w:t xml:space="preserve">Threat of Substitutes – Low to Moderate as </w:t>
      </w:r>
      <w:proofErr w:type="spellStart"/>
      <w:r w:rsidRPr="006D7D8A">
        <w:t>injectables</w:t>
      </w:r>
      <w:proofErr w:type="spellEnd"/>
      <w:r w:rsidRPr="006D7D8A">
        <w:t xml:space="preserve"> have specific use-cases</w:t>
      </w:r>
    </w:p>
    <w:p w:rsidR="006D7D8A" w:rsidRPr="006D7D8A" w:rsidRDefault="006D7D8A" w:rsidP="006D7D8A">
      <w:pPr>
        <w:pStyle w:val="NormalWeb"/>
        <w:numPr>
          <w:ilvl w:val="0"/>
          <w:numId w:val="7"/>
        </w:numPr>
        <w:spacing w:line="360" w:lineRule="auto"/>
        <w:jc w:val="both"/>
      </w:pPr>
      <w:r w:rsidRPr="006D7D8A">
        <w:t>Bargaining Power of Suppliers – Moderate</w:t>
      </w:r>
    </w:p>
    <w:p w:rsidR="006D7D8A" w:rsidRPr="006D7D8A" w:rsidRDefault="006D7D8A" w:rsidP="006D7D8A">
      <w:pPr>
        <w:pStyle w:val="NormalWeb"/>
        <w:numPr>
          <w:ilvl w:val="0"/>
          <w:numId w:val="7"/>
        </w:numPr>
        <w:spacing w:line="360" w:lineRule="auto"/>
        <w:jc w:val="both"/>
      </w:pPr>
      <w:r w:rsidRPr="006D7D8A">
        <w:t>Competitive Rivalry – High, with continuous innovation and product differentiation</w:t>
      </w: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noProof/>
          <w:sz w:val="24"/>
          <w:szCs w:val="24"/>
          <w:lang w:val="en-IN" w:eastAsia="en-IN"/>
        </w:rPr>
        <w:drawing>
          <wp:anchor distT="0" distB="0" distL="0" distR="0" simplePos="0" relativeHeight="251667456" behindDoc="1" locked="0" layoutInCell="1" allowOverlap="1">
            <wp:simplePos x="0" y="0"/>
            <wp:positionH relativeFrom="page">
              <wp:posOffset>-60960</wp:posOffset>
            </wp:positionH>
            <wp:positionV relativeFrom="page">
              <wp:posOffset>-716280</wp:posOffset>
            </wp:positionV>
            <wp:extent cx="10222230" cy="14455140"/>
            <wp:effectExtent l="0" t="0" r="381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6D7D8A" w:rsidRDefault="006D7D8A" w:rsidP="006D7D8A">
      <w:pPr>
        <w:spacing w:line="360" w:lineRule="auto"/>
        <w:jc w:val="both"/>
        <w:rPr>
          <w:rFonts w:ascii="Times New Roman" w:hAnsi="Times New Roman" w:cs="Times New Roman"/>
          <w:b/>
          <w:sz w:val="24"/>
          <w:szCs w:val="24"/>
        </w:rPr>
      </w:pPr>
    </w:p>
    <w:p w:rsidR="006D7D8A" w:rsidRPr="00F21FE7" w:rsidRDefault="006D7D8A" w:rsidP="006D7D8A">
      <w:pPr>
        <w:spacing w:line="360" w:lineRule="auto"/>
        <w:jc w:val="both"/>
        <w:rPr>
          <w:rFonts w:ascii="Times New Roman" w:hAnsi="Times New Roman" w:cs="Times New Roman"/>
          <w:b/>
          <w:sz w:val="32"/>
          <w:szCs w:val="24"/>
        </w:rPr>
      </w:pPr>
      <w:r w:rsidRPr="00F21FE7">
        <w:rPr>
          <w:rFonts w:ascii="Times New Roman" w:hAnsi="Times New Roman" w:cs="Times New Roman"/>
          <w:b/>
          <w:noProof/>
          <w:sz w:val="32"/>
          <w:szCs w:val="24"/>
          <w:lang w:val="en-IN" w:eastAsia="en-IN"/>
        </w:rPr>
        <w:drawing>
          <wp:anchor distT="0" distB="0" distL="0" distR="0" simplePos="0" relativeHeight="251669504" behindDoc="1" locked="0" layoutInCell="1" allowOverlap="1">
            <wp:simplePos x="0" y="0"/>
            <wp:positionH relativeFrom="page">
              <wp:posOffset>-24765</wp:posOffset>
            </wp:positionH>
            <wp:positionV relativeFrom="page">
              <wp:posOffset>-563880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F21FE7">
        <w:rPr>
          <w:rFonts w:ascii="Times New Roman" w:hAnsi="Times New Roman" w:cs="Times New Roman"/>
          <w:b/>
          <w:sz w:val="32"/>
          <w:szCs w:val="24"/>
        </w:rPr>
        <w:t>TABLE OF CONTENT</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1.</w:t>
      </w:r>
      <w:r w:rsidRPr="006D7D8A">
        <w:rPr>
          <w:rFonts w:ascii="Times New Roman" w:hAnsi="Times New Roman" w:cs="Times New Roman"/>
          <w:sz w:val="24"/>
          <w:szCs w:val="24"/>
        </w:rPr>
        <w:tab/>
      </w:r>
      <w:r w:rsidRPr="006D7D8A">
        <w:rPr>
          <w:rFonts w:ascii="Times New Roman" w:hAnsi="Times New Roman" w:cs="Times New Roman"/>
          <w:b/>
          <w:sz w:val="24"/>
          <w:szCs w:val="24"/>
        </w:rPr>
        <w:t>INTRODUCTION OF EUROPE INJECTABLE DRUG DELIVERY MARKET</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1.1 Overview of the Market</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1.2 Scope of Report</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1.3 Assumptions</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t>2.</w:t>
      </w:r>
      <w:r w:rsidRPr="006D7D8A">
        <w:rPr>
          <w:rFonts w:ascii="Times New Roman" w:hAnsi="Times New Roman" w:cs="Times New Roman"/>
          <w:b/>
          <w:sz w:val="24"/>
          <w:szCs w:val="24"/>
        </w:rPr>
        <w:tab/>
        <w:t>EXECUTIVE SUMMARY</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t>3.</w:t>
      </w:r>
      <w:r w:rsidRPr="006D7D8A">
        <w:rPr>
          <w:rFonts w:ascii="Times New Roman" w:hAnsi="Times New Roman" w:cs="Times New Roman"/>
          <w:b/>
          <w:sz w:val="24"/>
          <w:szCs w:val="24"/>
        </w:rPr>
        <w:tab/>
        <w:t>RESEARCH METHODOLOGY</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3.1 Data Mining</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3.2 Validation</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3.3 Primary Interviews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List of Data Sources</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t>4.</w:t>
      </w:r>
      <w:r w:rsidRPr="006D7D8A">
        <w:rPr>
          <w:rFonts w:ascii="Times New Roman" w:hAnsi="Times New Roman" w:cs="Times New Roman"/>
          <w:b/>
          <w:sz w:val="24"/>
          <w:szCs w:val="24"/>
        </w:rPr>
        <w:tab/>
        <w:t>EUROPE INJECTABLE DRUG DELIVERY MARKET OUTLOOK</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4.1 Overview</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4.2 Market Dynamics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lastRenderedPageBreak/>
        <w:t>4.3 Drivers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4.4 Restraints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4.5 Opportunities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4.6 Trends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4.7 Porters Five Force Model</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4.8 Value Chain Analysis</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t>5.</w:t>
      </w:r>
      <w:r w:rsidRPr="006D7D8A">
        <w:rPr>
          <w:rFonts w:ascii="Times New Roman" w:hAnsi="Times New Roman" w:cs="Times New Roman"/>
          <w:b/>
          <w:sz w:val="24"/>
          <w:szCs w:val="24"/>
        </w:rPr>
        <w:tab/>
        <w:t>EUROPE INJECTABLE DRUG DELIVERY MARKET, BY PRODUCT TYPE</w:t>
      </w:r>
    </w:p>
    <w:p w:rsidR="006D7D8A" w:rsidRPr="006D7D8A" w:rsidRDefault="006D7D8A" w:rsidP="006D7D8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-24765</wp:posOffset>
            </wp:positionH>
            <wp:positionV relativeFrom="page">
              <wp:posOffset>-411480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6D7D8A">
        <w:rPr>
          <w:rFonts w:ascii="Times New Roman" w:hAnsi="Times New Roman" w:cs="Times New Roman"/>
          <w:sz w:val="24"/>
          <w:szCs w:val="24"/>
        </w:rPr>
        <w:t>5.1 Devices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5.2 Formulations</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t>6.</w:t>
      </w:r>
      <w:r w:rsidRPr="006D7D8A">
        <w:rPr>
          <w:rFonts w:ascii="Times New Roman" w:hAnsi="Times New Roman" w:cs="Times New Roman"/>
          <w:b/>
          <w:sz w:val="24"/>
          <w:szCs w:val="24"/>
        </w:rPr>
        <w:tab/>
        <w:t>EUROPE INJECTABLE DRUG DELIVERY MARKET, BY APPLICATION</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6.1 Oncology</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6.2 Autoimmune Disorders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6.3 Hormonal Disorders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6.4 Cardiovascular Diseases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6.5 Infectious Diseases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6.6 Others</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t>7.</w:t>
      </w:r>
      <w:r w:rsidRPr="006D7D8A">
        <w:rPr>
          <w:rFonts w:ascii="Times New Roman" w:hAnsi="Times New Roman" w:cs="Times New Roman"/>
          <w:b/>
          <w:sz w:val="24"/>
          <w:szCs w:val="24"/>
        </w:rPr>
        <w:tab/>
        <w:t>EUROPE INJECTABLE DRUG DELIVERY MARKET, BY END-USER</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7.1 Hospitals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7.2 Homecare Settings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7.3 Ambulatory Surgical Centers</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7.4 Clinics</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lastRenderedPageBreak/>
        <w:t>8.</w:t>
      </w:r>
      <w:r w:rsidRPr="006D7D8A">
        <w:rPr>
          <w:rFonts w:ascii="Times New Roman" w:hAnsi="Times New Roman" w:cs="Times New Roman"/>
          <w:b/>
          <w:sz w:val="24"/>
          <w:szCs w:val="24"/>
        </w:rPr>
        <w:tab/>
        <w:t>EUROPE INJECTABLE DRUG DELIVERY MARKET, BY COUNTRY</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8.1 Germany</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8.2 UK</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8.3 France</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8.4 Italy</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8.5 Spain</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8.6 Rest of Europe</w:t>
      </w:r>
    </w:p>
    <w:p w:rsidR="006D7D8A" w:rsidRPr="006D7D8A" w:rsidRDefault="006D7D8A" w:rsidP="006D7D8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0" distR="0" simplePos="0" relativeHeight="251673600" behindDoc="1" locked="0" layoutInCell="1" allowOverlap="1">
            <wp:simplePos x="0" y="0"/>
            <wp:positionH relativeFrom="page">
              <wp:posOffset>-26670</wp:posOffset>
            </wp:positionH>
            <wp:positionV relativeFrom="page">
              <wp:posOffset>-304800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6D7D8A">
        <w:rPr>
          <w:rFonts w:ascii="Times New Roman" w:hAnsi="Times New Roman" w:cs="Times New Roman"/>
          <w:b/>
          <w:sz w:val="24"/>
          <w:szCs w:val="24"/>
        </w:rPr>
        <w:t>9.</w:t>
      </w:r>
      <w:r w:rsidRPr="006D7D8A">
        <w:rPr>
          <w:rFonts w:ascii="Times New Roman" w:hAnsi="Times New Roman" w:cs="Times New Roman"/>
          <w:b/>
          <w:sz w:val="24"/>
          <w:szCs w:val="24"/>
        </w:rPr>
        <w:tab/>
        <w:t>EUROPE INJECTABLE DRUG DELIVERY MARKET COMPETITIVE LANDSCAPE</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9.1 Company Market Ranking</w:t>
      </w:r>
    </w:p>
    <w:p w:rsidR="006D7D8A"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9.2 Key Development Strategies</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t>10.</w:t>
      </w:r>
      <w:r w:rsidRPr="006D7D8A">
        <w:rPr>
          <w:rFonts w:ascii="Times New Roman" w:hAnsi="Times New Roman" w:cs="Times New Roman"/>
          <w:b/>
          <w:sz w:val="24"/>
          <w:szCs w:val="24"/>
        </w:rPr>
        <w:tab/>
        <w:t>COMPANY PROFILES</w:t>
      </w:r>
    </w:p>
    <w:p w:rsidR="006D7D8A" w:rsidRPr="00E07CBB" w:rsidRDefault="006D7D8A" w:rsidP="006D7D8A">
      <w:pPr>
        <w:pStyle w:val="ListParagraph"/>
        <w:numPr>
          <w:ilvl w:val="0"/>
          <w:numId w:val="13"/>
        </w:numPr>
        <w:spacing w:line="360" w:lineRule="auto"/>
        <w:jc w:val="both"/>
        <w:rPr>
          <w:rFonts w:ascii="Times New Roman" w:hAnsi="Times New Roman" w:cs="Times New Roman"/>
          <w:b/>
          <w:sz w:val="24"/>
          <w:szCs w:val="24"/>
        </w:rPr>
      </w:pPr>
      <w:r w:rsidRPr="00E07CBB">
        <w:rPr>
          <w:rFonts w:ascii="Times New Roman" w:hAnsi="Times New Roman" w:cs="Times New Roman"/>
          <w:b/>
          <w:sz w:val="24"/>
          <w:szCs w:val="24"/>
        </w:rPr>
        <w:t>Becton, Dickinson and Company</w:t>
      </w:r>
    </w:p>
    <w:p w:rsidR="006D7D8A" w:rsidRPr="006D7D8A" w:rsidRDefault="006D7D8A" w:rsidP="006D7D8A">
      <w:pPr>
        <w:pStyle w:val="ListParagraph"/>
        <w:numPr>
          <w:ilvl w:val="0"/>
          <w:numId w:val="14"/>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Overview</w:t>
      </w:r>
    </w:p>
    <w:p w:rsidR="006D7D8A" w:rsidRPr="006D7D8A" w:rsidRDefault="006D7D8A" w:rsidP="006D7D8A">
      <w:pPr>
        <w:pStyle w:val="ListParagraph"/>
        <w:numPr>
          <w:ilvl w:val="0"/>
          <w:numId w:val="14"/>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Financial Performance</w:t>
      </w:r>
    </w:p>
    <w:p w:rsidR="006D7D8A" w:rsidRPr="006D7D8A" w:rsidRDefault="006D7D8A" w:rsidP="006D7D8A">
      <w:pPr>
        <w:pStyle w:val="ListParagraph"/>
        <w:numPr>
          <w:ilvl w:val="0"/>
          <w:numId w:val="14"/>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Product Outlook</w:t>
      </w:r>
    </w:p>
    <w:p w:rsidR="006D7D8A" w:rsidRDefault="006D7D8A" w:rsidP="006D7D8A">
      <w:pPr>
        <w:pStyle w:val="ListParagraph"/>
        <w:numPr>
          <w:ilvl w:val="0"/>
          <w:numId w:val="14"/>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Key Developments</w:t>
      </w:r>
    </w:p>
    <w:p w:rsidR="00E07CBB" w:rsidRPr="006D7D8A" w:rsidRDefault="00E07CBB" w:rsidP="00E07CBB">
      <w:pPr>
        <w:pStyle w:val="ListParagraph"/>
        <w:spacing w:line="360" w:lineRule="auto"/>
        <w:ind w:left="786"/>
        <w:jc w:val="both"/>
        <w:rPr>
          <w:rFonts w:ascii="Times New Roman" w:hAnsi="Times New Roman" w:cs="Times New Roman"/>
          <w:sz w:val="24"/>
          <w:szCs w:val="24"/>
        </w:rPr>
      </w:pPr>
    </w:p>
    <w:p w:rsidR="006D7D8A" w:rsidRPr="00E07CBB" w:rsidRDefault="006D7D8A" w:rsidP="006D7D8A">
      <w:pPr>
        <w:pStyle w:val="ListParagraph"/>
        <w:numPr>
          <w:ilvl w:val="0"/>
          <w:numId w:val="13"/>
        </w:numPr>
        <w:spacing w:line="360" w:lineRule="auto"/>
        <w:jc w:val="both"/>
        <w:rPr>
          <w:rFonts w:ascii="Times New Roman" w:hAnsi="Times New Roman" w:cs="Times New Roman"/>
          <w:b/>
          <w:sz w:val="24"/>
          <w:szCs w:val="24"/>
        </w:rPr>
      </w:pPr>
      <w:proofErr w:type="spellStart"/>
      <w:r w:rsidRPr="00E07CBB">
        <w:rPr>
          <w:rFonts w:ascii="Times New Roman" w:hAnsi="Times New Roman" w:cs="Times New Roman"/>
          <w:b/>
          <w:sz w:val="24"/>
          <w:szCs w:val="24"/>
        </w:rPr>
        <w:t>Gerresheimer</w:t>
      </w:r>
      <w:proofErr w:type="spellEnd"/>
      <w:r w:rsidRPr="00E07CBB">
        <w:rPr>
          <w:rFonts w:ascii="Times New Roman" w:hAnsi="Times New Roman" w:cs="Times New Roman"/>
          <w:b/>
          <w:sz w:val="24"/>
          <w:szCs w:val="24"/>
        </w:rPr>
        <w:t xml:space="preserve"> AG</w:t>
      </w:r>
    </w:p>
    <w:p w:rsidR="006D7D8A" w:rsidRPr="006D7D8A" w:rsidRDefault="006D7D8A" w:rsidP="006D7D8A">
      <w:pPr>
        <w:pStyle w:val="ListParagraph"/>
        <w:numPr>
          <w:ilvl w:val="0"/>
          <w:numId w:val="15"/>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Overview</w:t>
      </w:r>
    </w:p>
    <w:p w:rsidR="006D7D8A" w:rsidRPr="006D7D8A" w:rsidRDefault="006D7D8A" w:rsidP="006D7D8A">
      <w:pPr>
        <w:pStyle w:val="ListParagraph"/>
        <w:numPr>
          <w:ilvl w:val="0"/>
          <w:numId w:val="15"/>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Financial Performance</w:t>
      </w:r>
    </w:p>
    <w:p w:rsidR="006D7D8A" w:rsidRPr="006D7D8A" w:rsidRDefault="006D7D8A" w:rsidP="006D7D8A">
      <w:pPr>
        <w:pStyle w:val="ListParagraph"/>
        <w:numPr>
          <w:ilvl w:val="0"/>
          <w:numId w:val="15"/>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Product Outlook</w:t>
      </w:r>
    </w:p>
    <w:p w:rsidR="006D7D8A" w:rsidRPr="006D7D8A" w:rsidRDefault="006D7D8A" w:rsidP="006D7D8A">
      <w:pPr>
        <w:pStyle w:val="ListParagraph"/>
        <w:numPr>
          <w:ilvl w:val="0"/>
          <w:numId w:val="15"/>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Key Developments</w:t>
      </w:r>
    </w:p>
    <w:p w:rsidR="006D7D8A" w:rsidRPr="006D7D8A" w:rsidRDefault="006D7D8A" w:rsidP="006D7D8A">
      <w:pPr>
        <w:pStyle w:val="ListParagraph"/>
        <w:spacing w:line="360" w:lineRule="auto"/>
        <w:jc w:val="both"/>
        <w:rPr>
          <w:rFonts w:ascii="Times New Roman" w:hAnsi="Times New Roman" w:cs="Times New Roman"/>
          <w:sz w:val="24"/>
          <w:szCs w:val="24"/>
        </w:rPr>
      </w:pPr>
    </w:p>
    <w:p w:rsidR="006D7D8A" w:rsidRPr="00E07CBB" w:rsidRDefault="00E07CBB" w:rsidP="006D7D8A">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Schott AG</w:t>
      </w:r>
    </w:p>
    <w:p w:rsidR="006D7D8A" w:rsidRPr="006D7D8A" w:rsidRDefault="006D7D8A" w:rsidP="006D7D8A">
      <w:pPr>
        <w:pStyle w:val="ListParagraph"/>
        <w:numPr>
          <w:ilvl w:val="0"/>
          <w:numId w:val="16"/>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Overview</w:t>
      </w:r>
    </w:p>
    <w:p w:rsidR="006D7D8A" w:rsidRPr="006D7D8A" w:rsidRDefault="006D7D8A" w:rsidP="006D7D8A">
      <w:pPr>
        <w:pStyle w:val="ListParagraph"/>
        <w:numPr>
          <w:ilvl w:val="0"/>
          <w:numId w:val="16"/>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lastRenderedPageBreak/>
        <w:t>Financial Performance</w:t>
      </w:r>
    </w:p>
    <w:p w:rsidR="006D7D8A" w:rsidRPr="006D7D8A" w:rsidRDefault="006D7D8A" w:rsidP="006D7D8A">
      <w:pPr>
        <w:pStyle w:val="ListParagraph"/>
        <w:numPr>
          <w:ilvl w:val="0"/>
          <w:numId w:val="16"/>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Product Outlook</w:t>
      </w:r>
    </w:p>
    <w:p w:rsidR="006D7D8A" w:rsidRPr="006D7D8A" w:rsidRDefault="006D7D8A" w:rsidP="006D7D8A">
      <w:pPr>
        <w:pStyle w:val="ListParagraph"/>
        <w:numPr>
          <w:ilvl w:val="0"/>
          <w:numId w:val="16"/>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Key Developments</w:t>
      </w:r>
    </w:p>
    <w:p w:rsidR="006D7D8A" w:rsidRPr="00E07CBB" w:rsidRDefault="006D7D8A" w:rsidP="006D7D8A">
      <w:pPr>
        <w:pStyle w:val="ListParagraph"/>
        <w:numPr>
          <w:ilvl w:val="0"/>
          <w:numId w:val="13"/>
        </w:numPr>
        <w:spacing w:line="360" w:lineRule="auto"/>
        <w:jc w:val="both"/>
        <w:rPr>
          <w:rFonts w:ascii="Times New Roman" w:hAnsi="Times New Roman" w:cs="Times New Roman"/>
          <w:b/>
          <w:sz w:val="24"/>
          <w:szCs w:val="24"/>
        </w:rPr>
      </w:pPr>
      <w:r w:rsidRPr="00E07CBB">
        <w:rPr>
          <w:rFonts w:ascii="Times New Roman" w:hAnsi="Times New Roman" w:cs="Times New Roman"/>
          <w:b/>
          <w:sz w:val="24"/>
          <w:szCs w:val="24"/>
        </w:rPr>
        <w:t>Eli Lilly and Company</w:t>
      </w:r>
    </w:p>
    <w:p w:rsidR="006D7D8A" w:rsidRPr="006D7D8A" w:rsidRDefault="006D7D8A" w:rsidP="006D7D8A">
      <w:pPr>
        <w:pStyle w:val="ListParagraph"/>
        <w:numPr>
          <w:ilvl w:val="0"/>
          <w:numId w:val="17"/>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Overview</w:t>
      </w:r>
    </w:p>
    <w:p w:rsidR="006D7D8A" w:rsidRPr="006D7D8A" w:rsidRDefault="006D7D8A" w:rsidP="006D7D8A">
      <w:pPr>
        <w:pStyle w:val="ListParagraph"/>
        <w:numPr>
          <w:ilvl w:val="0"/>
          <w:numId w:val="17"/>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Financial Performance</w:t>
      </w:r>
    </w:p>
    <w:p w:rsidR="006D7D8A" w:rsidRPr="006D7D8A" w:rsidRDefault="006D7D8A" w:rsidP="006D7D8A">
      <w:pPr>
        <w:pStyle w:val="ListParagraph"/>
        <w:numPr>
          <w:ilvl w:val="0"/>
          <w:numId w:val="17"/>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Product Outlook</w:t>
      </w:r>
    </w:p>
    <w:p w:rsidR="006D7D8A" w:rsidRPr="006D7D8A" w:rsidRDefault="006D7D8A" w:rsidP="006D7D8A">
      <w:pPr>
        <w:pStyle w:val="ListParagraph"/>
        <w:numPr>
          <w:ilvl w:val="0"/>
          <w:numId w:val="17"/>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Key Developments</w:t>
      </w:r>
    </w:p>
    <w:p w:rsidR="006D7D8A" w:rsidRPr="006D7D8A" w:rsidRDefault="006D7D8A" w:rsidP="006D7D8A">
      <w:pPr>
        <w:pStyle w:val="ListParagraph"/>
        <w:spacing w:line="360" w:lineRule="auto"/>
        <w:jc w:val="both"/>
        <w:rPr>
          <w:rFonts w:ascii="Times New Roman" w:hAnsi="Times New Roman" w:cs="Times New Roman"/>
          <w:sz w:val="24"/>
          <w:szCs w:val="24"/>
        </w:rPr>
      </w:pPr>
    </w:p>
    <w:p w:rsidR="006D7D8A" w:rsidRPr="00E07CBB" w:rsidRDefault="006D7D8A" w:rsidP="006D7D8A">
      <w:pPr>
        <w:pStyle w:val="ListParagraph"/>
        <w:numPr>
          <w:ilvl w:val="0"/>
          <w:numId w:val="13"/>
        </w:numPr>
        <w:spacing w:line="360" w:lineRule="auto"/>
        <w:jc w:val="both"/>
        <w:rPr>
          <w:rFonts w:ascii="Times New Roman" w:hAnsi="Times New Roman" w:cs="Times New Roman"/>
          <w:b/>
          <w:sz w:val="24"/>
          <w:szCs w:val="24"/>
        </w:rPr>
      </w:pPr>
      <w:r w:rsidRPr="00E07CBB">
        <w:rPr>
          <w:rFonts w:ascii="Times New Roman" w:hAnsi="Times New Roman" w:cs="Times New Roman"/>
          <w:b/>
          <w:sz w:val="24"/>
          <w:szCs w:val="24"/>
        </w:rPr>
        <w:t>Pfizer Inc.</w:t>
      </w:r>
    </w:p>
    <w:p w:rsidR="006D7D8A" w:rsidRPr="006D7D8A" w:rsidRDefault="006D7D8A" w:rsidP="006D7D8A">
      <w:pPr>
        <w:pStyle w:val="ListParagraph"/>
        <w:numPr>
          <w:ilvl w:val="0"/>
          <w:numId w:val="18"/>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Overview</w:t>
      </w:r>
    </w:p>
    <w:p w:rsidR="006D7D8A" w:rsidRPr="006D7D8A" w:rsidRDefault="006D7D8A" w:rsidP="006D7D8A">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75648" behindDoc="1" locked="0" layoutInCell="1" allowOverlap="1">
            <wp:simplePos x="0" y="0"/>
            <wp:positionH relativeFrom="page">
              <wp:posOffset>0</wp:posOffset>
            </wp:positionH>
            <wp:positionV relativeFrom="page">
              <wp:posOffset>-106680</wp:posOffset>
            </wp:positionV>
            <wp:extent cx="10222230" cy="1445514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6D7D8A">
        <w:rPr>
          <w:rFonts w:ascii="Times New Roman" w:hAnsi="Times New Roman" w:cs="Times New Roman"/>
          <w:sz w:val="24"/>
          <w:szCs w:val="24"/>
        </w:rPr>
        <w:t>Financial Performance</w:t>
      </w:r>
    </w:p>
    <w:p w:rsidR="006D7D8A" w:rsidRPr="006D7D8A" w:rsidRDefault="006D7D8A" w:rsidP="006D7D8A">
      <w:pPr>
        <w:pStyle w:val="ListParagraph"/>
        <w:numPr>
          <w:ilvl w:val="0"/>
          <w:numId w:val="18"/>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Product Outlook</w:t>
      </w:r>
    </w:p>
    <w:p w:rsidR="006D7D8A" w:rsidRPr="006D7D8A" w:rsidRDefault="006D7D8A" w:rsidP="006D7D8A">
      <w:pPr>
        <w:pStyle w:val="ListParagraph"/>
        <w:numPr>
          <w:ilvl w:val="0"/>
          <w:numId w:val="18"/>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Key Developments</w:t>
      </w:r>
    </w:p>
    <w:p w:rsidR="006D7D8A" w:rsidRPr="00E07CBB" w:rsidRDefault="006D7D8A" w:rsidP="006D7D8A">
      <w:pPr>
        <w:pStyle w:val="ListParagraph"/>
        <w:numPr>
          <w:ilvl w:val="0"/>
          <w:numId w:val="13"/>
        </w:numPr>
        <w:spacing w:line="360" w:lineRule="auto"/>
        <w:jc w:val="both"/>
        <w:rPr>
          <w:rFonts w:ascii="Times New Roman" w:hAnsi="Times New Roman" w:cs="Times New Roman"/>
          <w:b/>
          <w:sz w:val="24"/>
          <w:szCs w:val="24"/>
        </w:rPr>
      </w:pPr>
      <w:proofErr w:type="spellStart"/>
      <w:r w:rsidRPr="00E07CBB">
        <w:rPr>
          <w:rFonts w:ascii="Times New Roman" w:hAnsi="Times New Roman" w:cs="Times New Roman"/>
          <w:b/>
          <w:sz w:val="24"/>
          <w:szCs w:val="24"/>
        </w:rPr>
        <w:t>Ypsomed</w:t>
      </w:r>
      <w:proofErr w:type="spellEnd"/>
      <w:r w:rsidRPr="00E07CBB">
        <w:rPr>
          <w:rFonts w:ascii="Times New Roman" w:hAnsi="Times New Roman" w:cs="Times New Roman"/>
          <w:b/>
          <w:sz w:val="24"/>
          <w:szCs w:val="24"/>
        </w:rPr>
        <w:t xml:space="preserve"> Holding AG</w:t>
      </w:r>
    </w:p>
    <w:p w:rsidR="006D7D8A" w:rsidRPr="006D7D8A" w:rsidRDefault="006D7D8A" w:rsidP="006D7D8A">
      <w:pPr>
        <w:pStyle w:val="ListParagraph"/>
        <w:numPr>
          <w:ilvl w:val="0"/>
          <w:numId w:val="19"/>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Overview</w:t>
      </w:r>
    </w:p>
    <w:p w:rsidR="006D7D8A" w:rsidRPr="006D7D8A" w:rsidRDefault="006D7D8A" w:rsidP="006D7D8A">
      <w:pPr>
        <w:pStyle w:val="ListParagraph"/>
        <w:numPr>
          <w:ilvl w:val="0"/>
          <w:numId w:val="19"/>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Financial Performance</w:t>
      </w:r>
    </w:p>
    <w:p w:rsidR="006D7D8A" w:rsidRPr="006D7D8A" w:rsidRDefault="006D7D8A" w:rsidP="006D7D8A">
      <w:pPr>
        <w:pStyle w:val="ListParagraph"/>
        <w:numPr>
          <w:ilvl w:val="0"/>
          <w:numId w:val="19"/>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Product Outlook</w:t>
      </w:r>
    </w:p>
    <w:p w:rsidR="006D7D8A" w:rsidRPr="006D7D8A" w:rsidRDefault="006D7D8A" w:rsidP="006D7D8A">
      <w:pPr>
        <w:pStyle w:val="ListParagraph"/>
        <w:numPr>
          <w:ilvl w:val="0"/>
          <w:numId w:val="19"/>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Key Developments</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t>11.</w:t>
      </w:r>
      <w:r w:rsidRPr="006D7D8A">
        <w:rPr>
          <w:rFonts w:ascii="Times New Roman" w:hAnsi="Times New Roman" w:cs="Times New Roman"/>
          <w:b/>
          <w:sz w:val="24"/>
          <w:szCs w:val="24"/>
        </w:rPr>
        <w:tab/>
        <w:t>KEY DEVELOPMENTS</w:t>
      </w:r>
    </w:p>
    <w:p w:rsidR="006D7D8A" w:rsidRPr="006D7D8A" w:rsidRDefault="006D7D8A" w:rsidP="006D7D8A">
      <w:pPr>
        <w:pStyle w:val="ListParagraph"/>
        <w:numPr>
          <w:ilvl w:val="0"/>
          <w:numId w:val="12"/>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Product Launches/Developments</w:t>
      </w:r>
    </w:p>
    <w:p w:rsidR="006D7D8A" w:rsidRPr="006D7D8A" w:rsidRDefault="006D7D8A" w:rsidP="006D7D8A">
      <w:pPr>
        <w:pStyle w:val="ListParagraph"/>
        <w:numPr>
          <w:ilvl w:val="0"/>
          <w:numId w:val="12"/>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Mergers and Acquisitions</w:t>
      </w:r>
    </w:p>
    <w:p w:rsidR="006D7D8A" w:rsidRPr="006D7D8A" w:rsidRDefault="006D7D8A" w:rsidP="006D7D8A">
      <w:pPr>
        <w:pStyle w:val="ListParagraph"/>
        <w:numPr>
          <w:ilvl w:val="0"/>
          <w:numId w:val="12"/>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Business Expansions</w:t>
      </w:r>
    </w:p>
    <w:p w:rsidR="006D7D8A" w:rsidRPr="006D7D8A" w:rsidRDefault="006D7D8A" w:rsidP="006D7D8A">
      <w:pPr>
        <w:pStyle w:val="ListParagraph"/>
        <w:numPr>
          <w:ilvl w:val="0"/>
          <w:numId w:val="12"/>
        </w:num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Partnerships and Collaborations</w:t>
      </w:r>
    </w:p>
    <w:p w:rsidR="006D7D8A" w:rsidRPr="006D7D8A" w:rsidRDefault="006D7D8A" w:rsidP="006D7D8A">
      <w:pPr>
        <w:spacing w:line="360" w:lineRule="auto"/>
        <w:jc w:val="both"/>
        <w:rPr>
          <w:rFonts w:ascii="Times New Roman" w:hAnsi="Times New Roman" w:cs="Times New Roman"/>
          <w:b/>
          <w:sz w:val="24"/>
          <w:szCs w:val="24"/>
        </w:rPr>
      </w:pPr>
      <w:r w:rsidRPr="006D7D8A">
        <w:rPr>
          <w:rFonts w:ascii="Times New Roman" w:hAnsi="Times New Roman" w:cs="Times New Roman"/>
          <w:b/>
          <w:sz w:val="24"/>
          <w:szCs w:val="24"/>
        </w:rPr>
        <w:t>12.</w:t>
      </w:r>
      <w:r w:rsidRPr="006D7D8A">
        <w:rPr>
          <w:rFonts w:ascii="Times New Roman" w:hAnsi="Times New Roman" w:cs="Times New Roman"/>
          <w:b/>
          <w:sz w:val="24"/>
          <w:szCs w:val="24"/>
        </w:rPr>
        <w:tab/>
        <w:t>APPENDIX</w:t>
      </w:r>
    </w:p>
    <w:p w:rsidR="000E62D2" w:rsidRPr="006D7D8A" w:rsidRDefault="006D7D8A" w:rsidP="006D7D8A">
      <w:pPr>
        <w:spacing w:line="360" w:lineRule="auto"/>
        <w:jc w:val="both"/>
        <w:rPr>
          <w:rFonts w:ascii="Times New Roman" w:hAnsi="Times New Roman" w:cs="Times New Roman"/>
          <w:sz w:val="24"/>
          <w:szCs w:val="24"/>
        </w:rPr>
      </w:pPr>
      <w:r w:rsidRPr="006D7D8A">
        <w:rPr>
          <w:rFonts w:ascii="Times New Roman" w:hAnsi="Times New Roman" w:cs="Times New Roman"/>
          <w:sz w:val="24"/>
          <w:szCs w:val="24"/>
        </w:rPr>
        <w:t>12.1 Related Research</w:t>
      </w:r>
    </w:p>
    <w:p w:rsidR="006D7D8A" w:rsidRPr="006D7D8A" w:rsidRDefault="006D7D8A" w:rsidP="006D7D8A">
      <w:pPr>
        <w:spacing w:line="360" w:lineRule="auto"/>
        <w:jc w:val="both"/>
        <w:rPr>
          <w:rFonts w:ascii="Times New Roman" w:hAnsi="Times New Roman" w:cs="Times New Roman"/>
          <w:sz w:val="24"/>
          <w:szCs w:val="24"/>
        </w:rPr>
      </w:pPr>
    </w:p>
    <w:sectPr w:rsidR="006D7D8A" w:rsidRPr="006D7D8A" w:rsidSect="000E6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D75"/>
    <w:multiLevelType w:val="multilevel"/>
    <w:tmpl w:val="47C2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2121"/>
    <w:multiLevelType w:val="multilevel"/>
    <w:tmpl w:val="546C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7398C"/>
    <w:multiLevelType w:val="multilevel"/>
    <w:tmpl w:val="DA6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D69A5"/>
    <w:multiLevelType w:val="hybridMultilevel"/>
    <w:tmpl w:val="4DE81B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43DAF"/>
    <w:multiLevelType w:val="hybridMultilevel"/>
    <w:tmpl w:val="457628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30C3E"/>
    <w:multiLevelType w:val="multilevel"/>
    <w:tmpl w:val="B86E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F70DA"/>
    <w:multiLevelType w:val="hybridMultilevel"/>
    <w:tmpl w:val="373EC32C"/>
    <w:lvl w:ilvl="0" w:tplc="7398F1C0">
      <w:start w:val="1"/>
      <w:numFmt w:val="decimal"/>
      <w:lvlText w:val="10.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F276A1"/>
    <w:multiLevelType w:val="hybridMultilevel"/>
    <w:tmpl w:val="C1880348"/>
    <w:lvl w:ilvl="0" w:tplc="F6DE418E">
      <w:start w:val="1"/>
      <w:numFmt w:val="decimal"/>
      <w:lvlText w:val="10.%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C5091"/>
    <w:multiLevelType w:val="multilevel"/>
    <w:tmpl w:val="34EE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314A2"/>
    <w:multiLevelType w:val="multilevel"/>
    <w:tmpl w:val="73A0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03B9E"/>
    <w:multiLevelType w:val="hybridMultilevel"/>
    <w:tmpl w:val="A62A05F2"/>
    <w:lvl w:ilvl="0" w:tplc="2C6694C6">
      <w:start w:val="1"/>
      <w:numFmt w:val="decimal"/>
      <w:lvlText w:val="10.6.%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F16069"/>
    <w:multiLevelType w:val="hybridMultilevel"/>
    <w:tmpl w:val="C896A3EC"/>
    <w:lvl w:ilvl="0" w:tplc="6E8447B6">
      <w:start w:val="1"/>
      <w:numFmt w:val="decimal"/>
      <w:lvlText w:val="10.3.%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7D1043"/>
    <w:multiLevelType w:val="hybridMultilevel"/>
    <w:tmpl w:val="0AF85172"/>
    <w:lvl w:ilvl="0" w:tplc="1BCA7DA4">
      <w:start w:val="1"/>
      <w:numFmt w:val="decimal"/>
      <w:lvlText w:val="10.1.%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5CB60592"/>
    <w:multiLevelType w:val="hybridMultilevel"/>
    <w:tmpl w:val="BB4626A2"/>
    <w:lvl w:ilvl="0" w:tplc="EA9871DE">
      <w:start w:val="1"/>
      <w:numFmt w:val="decimal"/>
      <w:lvlText w:val="10.5.%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073DC2"/>
    <w:multiLevelType w:val="multilevel"/>
    <w:tmpl w:val="04F8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A593A"/>
    <w:multiLevelType w:val="multilevel"/>
    <w:tmpl w:val="C266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65B7C"/>
    <w:multiLevelType w:val="hybridMultilevel"/>
    <w:tmpl w:val="F3689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96509"/>
    <w:multiLevelType w:val="hybridMultilevel"/>
    <w:tmpl w:val="C72C74CC"/>
    <w:lvl w:ilvl="0" w:tplc="F09AF948">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77530"/>
    <w:multiLevelType w:val="hybridMultilevel"/>
    <w:tmpl w:val="0CF8E4AC"/>
    <w:lvl w:ilvl="0" w:tplc="9414359C">
      <w:start w:val="1"/>
      <w:numFmt w:val="decimal"/>
      <w:lvlText w:val="10.4.%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8"/>
  </w:num>
  <w:num w:numId="4">
    <w:abstractNumId w:val="1"/>
  </w:num>
  <w:num w:numId="5">
    <w:abstractNumId w:val="0"/>
  </w:num>
  <w:num w:numId="6">
    <w:abstractNumId w:val="9"/>
  </w:num>
  <w:num w:numId="7">
    <w:abstractNumId w:val="5"/>
  </w:num>
  <w:num w:numId="8">
    <w:abstractNumId w:val="2"/>
  </w:num>
  <w:num w:numId="9">
    <w:abstractNumId w:val="16"/>
  </w:num>
  <w:num w:numId="10">
    <w:abstractNumId w:val="4"/>
  </w:num>
  <w:num w:numId="11">
    <w:abstractNumId w:val="3"/>
  </w:num>
  <w:num w:numId="12">
    <w:abstractNumId w:val="17"/>
  </w:num>
  <w:num w:numId="13">
    <w:abstractNumId w:val="7"/>
  </w:num>
  <w:num w:numId="14">
    <w:abstractNumId w:val="12"/>
  </w:num>
  <w:num w:numId="15">
    <w:abstractNumId w:val="6"/>
  </w:num>
  <w:num w:numId="16">
    <w:abstractNumId w:val="11"/>
  </w:num>
  <w:num w:numId="17">
    <w:abstractNumId w:val="18"/>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D7D8A"/>
    <w:rsid w:val="000E62D2"/>
    <w:rsid w:val="00164EBE"/>
    <w:rsid w:val="00250F21"/>
    <w:rsid w:val="005E6888"/>
    <w:rsid w:val="00636ED9"/>
    <w:rsid w:val="006D7D8A"/>
    <w:rsid w:val="00A61477"/>
    <w:rsid w:val="00B97FE8"/>
    <w:rsid w:val="00E07CBB"/>
    <w:rsid w:val="00F21FE7"/>
    <w:rsid w:val="00FC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6F0C"/>
  <w15:docId w15:val="{6FB7902F-B881-417E-A549-8949DA74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D8A"/>
    <w:rPr>
      <w:b/>
      <w:bCs/>
    </w:rPr>
  </w:style>
  <w:style w:type="paragraph" w:styleId="ListParagraph">
    <w:name w:val="List Paragraph"/>
    <w:basedOn w:val="Normal"/>
    <w:uiPriority w:val="34"/>
    <w:qFormat/>
    <w:rsid w:val="006D7D8A"/>
    <w:pPr>
      <w:ind w:left="720"/>
      <w:contextualSpacing/>
    </w:pPr>
  </w:style>
  <w:style w:type="character" w:customStyle="1" w:styleId="relative">
    <w:name w:val="relative"/>
    <w:basedOn w:val="DefaultParagraphFont"/>
    <w:rsid w:val="00E07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19052">
      <w:bodyDiv w:val="1"/>
      <w:marLeft w:val="0"/>
      <w:marRight w:val="0"/>
      <w:marTop w:val="0"/>
      <w:marBottom w:val="0"/>
      <w:divBdr>
        <w:top w:val="none" w:sz="0" w:space="0" w:color="auto"/>
        <w:left w:val="none" w:sz="0" w:space="0" w:color="auto"/>
        <w:bottom w:val="none" w:sz="0" w:space="0" w:color="auto"/>
        <w:right w:val="none" w:sz="0" w:space="0" w:color="auto"/>
      </w:divBdr>
    </w:div>
    <w:div w:id="1128619656">
      <w:bodyDiv w:val="1"/>
      <w:marLeft w:val="0"/>
      <w:marRight w:val="0"/>
      <w:marTop w:val="0"/>
      <w:marBottom w:val="0"/>
      <w:divBdr>
        <w:top w:val="none" w:sz="0" w:space="0" w:color="auto"/>
        <w:left w:val="none" w:sz="0" w:space="0" w:color="auto"/>
        <w:bottom w:val="none" w:sz="0" w:space="0" w:color="auto"/>
        <w:right w:val="none" w:sz="0" w:space="0" w:color="auto"/>
      </w:divBdr>
    </w:div>
    <w:div w:id="1468203903">
      <w:bodyDiv w:val="1"/>
      <w:marLeft w:val="0"/>
      <w:marRight w:val="0"/>
      <w:marTop w:val="0"/>
      <w:marBottom w:val="0"/>
      <w:divBdr>
        <w:top w:val="none" w:sz="0" w:space="0" w:color="auto"/>
        <w:left w:val="none" w:sz="0" w:space="0" w:color="auto"/>
        <w:bottom w:val="none" w:sz="0" w:space="0" w:color="auto"/>
        <w:right w:val="none" w:sz="0" w:space="0" w:color="auto"/>
      </w:divBdr>
    </w:div>
    <w:div w:id="174286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2878</TotalTime>
  <Pages>1</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7</cp:revision>
  <dcterms:created xsi:type="dcterms:W3CDTF">2025-04-05T13:11:00Z</dcterms:created>
  <dcterms:modified xsi:type="dcterms:W3CDTF">2025-05-13T08:56:00Z</dcterms:modified>
</cp:coreProperties>
</file>