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b/>
          <w:bCs/>
          <w:sz w:val="24"/>
          <w:szCs w:val="24"/>
        </w:rPr>
        <w:t>GERMANY BIOPHARMACEUTICAL MARKET</w:t>
      </w:r>
      <w:r w:rsidR="00595370" w:rsidRPr="00595370">
        <w:rPr>
          <w:rFonts w:ascii="Times New Roman" w:eastAsia="Times New Roman" w:hAnsi="Times New Roman" w:cs="Times New Roman"/>
          <w:b/>
          <w:bCs/>
          <w:noProof/>
          <w:sz w:val="24"/>
          <w:szCs w:val="24"/>
          <w:lang w:val="en-IN" w:eastAsia="en-IN"/>
        </w:rPr>
        <w:drawing>
          <wp:anchor distT="0" distB="0" distL="0" distR="0" simplePos="0" relativeHeight="251659264" behindDoc="1" locked="0" layoutInCell="1" allowOverlap="1">
            <wp:simplePos x="0" y="0"/>
            <wp:positionH relativeFrom="page">
              <wp:posOffset>-190500</wp:posOffset>
            </wp:positionH>
            <wp:positionV relativeFrom="page">
              <wp:posOffset>-304800</wp:posOffset>
            </wp:positionV>
            <wp:extent cx="10222230" cy="14452600"/>
            <wp:effectExtent l="19050" t="0" r="7620" b="0"/>
            <wp:wrapNone/>
            <wp:docPr id="4"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p>
    <w:p w:rsid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According to </w:t>
      </w:r>
      <w:proofErr w:type="spellStart"/>
      <w:r w:rsidRPr="00B17FAE">
        <w:rPr>
          <w:rFonts w:ascii="Times New Roman" w:eastAsia="Times New Roman" w:hAnsi="Times New Roman" w:cs="Times New Roman"/>
          <w:sz w:val="24"/>
          <w:szCs w:val="24"/>
        </w:rPr>
        <w:t>Intelli</w:t>
      </w:r>
      <w:proofErr w:type="spellEnd"/>
      <w:r w:rsidRPr="00B17FAE">
        <w:rPr>
          <w:rFonts w:ascii="Times New Roman" w:eastAsia="Times New Roman" w:hAnsi="Times New Roman" w:cs="Times New Roman"/>
          <w:sz w:val="24"/>
          <w:szCs w:val="24"/>
        </w:rPr>
        <w:t>, the Germany Biopharmaceutic</w:t>
      </w:r>
      <w:r>
        <w:rPr>
          <w:rFonts w:ascii="Times New Roman" w:eastAsia="Times New Roman" w:hAnsi="Times New Roman" w:cs="Times New Roman"/>
          <w:sz w:val="24"/>
          <w:szCs w:val="24"/>
        </w:rPr>
        <w:t xml:space="preserve">al Market was valued at USD </w:t>
      </w:r>
      <w:r w:rsidRPr="00B17FAE">
        <w:rPr>
          <w:rFonts w:ascii="Times New Roman" w:hAnsi="Times New Roman" w:cs="Times New Roman"/>
          <w:sz w:val="24"/>
          <w:szCs w:val="24"/>
        </w:rPr>
        <w:t>149,250</w:t>
      </w:r>
      <w:r w:rsidRPr="00B17FAE">
        <w:rPr>
          <w:rFonts w:ascii="Times New Roman" w:eastAsia="Times New Roman" w:hAnsi="Times New Roman" w:cs="Times New Roman"/>
          <w:sz w:val="24"/>
          <w:szCs w:val="24"/>
        </w:rPr>
        <w:t xml:space="preserve"> million in 2024 and is pro</w:t>
      </w:r>
      <w:r>
        <w:rPr>
          <w:rFonts w:ascii="Times New Roman" w:eastAsia="Times New Roman" w:hAnsi="Times New Roman" w:cs="Times New Roman"/>
          <w:sz w:val="24"/>
          <w:szCs w:val="24"/>
        </w:rPr>
        <w:t>jected to reach USD 291526.87 million by 2032, growing at a CAGR of 9</w:t>
      </w:r>
      <w:r w:rsidRPr="00B17FAE">
        <w:rPr>
          <w:rFonts w:ascii="Times New Roman" w:eastAsia="Times New Roman" w:hAnsi="Times New Roman" w:cs="Times New Roman"/>
          <w:sz w:val="24"/>
          <w:szCs w:val="24"/>
        </w:rPr>
        <w:t>.63% from 2025 to 2032.</w:t>
      </w:r>
    </w:p>
    <w:p w:rsidR="00FC3973" w:rsidRPr="00B17FAE" w:rsidRDefault="00FC3973" w:rsidP="00B17FAE">
      <w:pPr>
        <w:spacing w:before="100" w:beforeAutospacing="1" w:after="100" w:afterAutospacing="1" w:line="360" w:lineRule="auto"/>
        <w:jc w:val="both"/>
        <w:rPr>
          <w:rFonts w:ascii="Times New Roman" w:eastAsia="Times New Roman" w:hAnsi="Times New Roman" w:cs="Times New Roman"/>
          <w:sz w:val="24"/>
          <w:szCs w:val="24"/>
        </w:rPr>
      </w:pPr>
      <w:bookmarkStart w:id="0" w:name="_GoBack"/>
      <w:r>
        <w:rPr>
          <w:rFonts w:ascii="Times New Roman" w:eastAsia="Times New Roman" w:hAnsi="Times New Roman" w:cs="Times New Roman"/>
          <w:noProof/>
          <w:sz w:val="24"/>
          <w:szCs w:val="24"/>
          <w:lang w:val="en-IN" w:eastAsia="en-IN"/>
        </w:rPr>
        <w:drawing>
          <wp:inline distT="0" distB="0" distL="0" distR="0">
            <wp:extent cx="5943600" cy="30003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rmany Bio.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bookmarkEnd w:id="0"/>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Germany is the largest biopharmaceutical market in Europe and among the top global markets. The country's market growth is driven by factors such as strong healthcare infrastructure, significant investment in R&amp;D, supportive government initiatives, and a well-established pharmaceutical manufacturing ecosystem. Germany is home to several world-renowned research institutions and biotechnology hubs, fostering innovation in biopharmaceuticals, including monoclonal antibodies, vaccines, gene therapies, and biosimilars. Increasing prevalence of chronic diseases, rising demand for personalized medicines, and a favorable regulatory environment further boost market expansion.</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b/>
          <w:bCs/>
          <w:sz w:val="24"/>
          <w:szCs w:val="24"/>
        </w:rPr>
        <w:t>Germany Biopharmaceutical Market Definition</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Biopharmaceuticals are medical drugs produced using biotechnology. They include proteins (including antibodies), nucleic acids (DNA, RNA), and living cells or tissues used for therapeutic or diagnostic purposes. Biopharmaceuticals differ from traditional chemically synthesized </w:t>
      </w:r>
      <w:r w:rsidRPr="00B17FAE">
        <w:rPr>
          <w:rFonts w:ascii="Times New Roman" w:eastAsia="Times New Roman" w:hAnsi="Times New Roman" w:cs="Times New Roman"/>
          <w:sz w:val="24"/>
          <w:szCs w:val="24"/>
        </w:rPr>
        <w:lastRenderedPageBreak/>
        <w:t>pharmaceuticals by their complexity and the biological processes required for their production. Categories include recombinant proteins, monoclonal antibodies, vaccines, cell therapy, gene therapy, and biosimilars. Germany is a leader in biologics manufacturing, clinical trials, and innovative therapeutic development.</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b/>
          <w:bCs/>
          <w:sz w:val="24"/>
          <w:szCs w:val="24"/>
        </w:rPr>
        <w:t>Germany Biopharmaceutical Market Overview</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The Germany biopharmaceutical market continues to grow robustly, backed by substantial public and private sector investments in life sciences. Biologics account for nearly 30% of all drugs in Germany and over 50% of pharmaceutical sales. The increasing approval and adoption of biosimilars have intensified competition while making therapies more affordable. Moreover, the COVID-19 pandemic accelerated advancements in mRNA vaccine technologies, reinforcing Germany's leadership in cutting-edge biopharmaceutical research.</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Challenges include high manufacturing costs, stringent regulatory pathways, and complex supply chains. However, expanding partnerships between academia and industry, growing adoption of digital bioprocessing technologies, and government-backed initiatives like "Pharma 2020" provide significant growth opportunities. Personalized medicine and advancements in immunotherapy and regenerative medicine are expected to redefine the market landscape.</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b/>
          <w:bCs/>
          <w:sz w:val="24"/>
          <w:szCs w:val="24"/>
        </w:rPr>
        <w:t>Germany Biopharmaceutical Market Segmentation Analysis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b/>
          <w:bCs/>
          <w:sz w:val="24"/>
          <w:szCs w:val="24"/>
        </w:rPr>
        <w:t>Market Segmentation by Product Type:</w:t>
      </w:r>
    </w:p>
    <w:p w:rsidR="00B17FAE" w:rsidRPr="00B17FAE" w:rsidRDefault="00B17FAE" w:rsidP="00B17FA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Monoclonal Antibodies (</w:t>
      </w:r>
      <w:proofErr w:type="spellStart"/>
      <w:r w:rsidRPr="00B17FAE">
        <w:rPr>
          <w:rFonts w:ascii="Times New Roman" w:eastAsia="Times New Roman" w:hAnsi="Times New Roman" w:cs="Times New Roman"/>
          <w:sz w:val="24"/>
          <w:szCs w:val="24"/>
        </w:rPr>
        <w:t>mAbs</w:t>
      </w:r>
      <w:proofErr w:type="spellEnd"/>
      <w:r w:rsidRPr="00B17FAE">
        <w:rPr>
          <w:rFonts w:ascii="Times New Roman" w:eastAsia="Times New Roman" w:hAnsi="Times New Roman" w:cs="Times New Roman"/>
          <w:sz w:val="24"/>
          <w:szCs w:val="24"/>
        </w:rPr>
        <w:t>)</w:t>
      </w:r>
    </w:p>
    <w:p w:rsidR="00B17FAE" w:rsidRPr="00B17FAE" w:rsidRDefault="00B17FAE" w:rsidP="00B17FA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Vaccines</w:t>
      </w:r>
    </w:p>
    <w:p w:rsidR="00B17FAE" w:rsidRPr="00B17FAE" w:rsidRDefault="00B17FAE" w:rsidP="00B17FA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Recombinant Proteins</w:t>
      </w:r>
      <w:r w:rsidR="00595370" w:rsidRPr="00595370">
        <w:rPr>
          <w:rFonts w:ascii="Times New Roman" w:eastAsia="Times New Roman" w:hAnsi="Times New Roman" w:cs="Times New Roman"/>
          <w:noProof/>
          <w:sz w:val="24"/>
          <w:szCs w:val="24"/>
          <w:lang w:val="en-IN" w:eastAsia="en-IN"/>
        </w:rPr>
        <w:drawing>
          <wp:anchor distT="0" distB="0" distL="0" distR="0" simplePos="0" relativeHeight="251661312" behindDoc="1" locked="0" layoutInCell="1" allowOverlap="1">
            <wp:simplePos x="0" y="0"/>
            <wp:positionH relativeFrom="page">
              <wp:posOffset>-38100</wp:posOffset>
            </wp:positionH>
            <wp:positionV relativeFrom="page">
              <wp:posOffset>-152400</wp:posOffset>
            </wp:positionV>
            <wp:extent cx="10222230" cy="14452600"/>
            <wp:effectExtent l="19050" t="0" r="7620" b="0"/>
            <wp:wrapNone/>
            <wp:docPr id="1"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p>
    <w:p w:rsidR="00B17FAE" w:rsidRPr="00B17FAE" w:rsidRDefault="00B17FAE" w:rsidP="00B17FA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Gene Therapy Products</w:t>
      </w:r>
    </w:p>
    <w:p w:rsidR="00B17FAE" w:rsidRPr="00B17FAE" w:rsidRDefault="00B17FAE" w:rsidP="00B17FA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Cell Therapy Products</w:t>
      </w:r>
    </w:p>
    <w:p w:rsidR="00B17FAE" w:rsidRPr="00B17FAE" w:rsidRDefault="00B17FAE" w:rsidP="00B17FA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Biosimilars</w:t>
      </w:r>
    </w:p>
    <w:p w:rsidR="00B17FAE" w:rsidRPr="00B17FAE" w:rsidRDefault="00B17FAE" w:rsidP="00B17FAE">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Others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lastRenderedPageBreak/>
        <w:t>Monoclonal antibodies dominate the market due to their effectiveness in treating cancer, autoimmune diseases, and infectious diseases. Biosimilars are the fastest-growing segment driven by patent expirations and cost-effective therapeutic solutions.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b/>
          <w:bCs/>
          <w:sz w:val="24"/>
          <w:szCs w:val="24"/>
        </w:rPr>
        <w:t>Market Segmentation by Therapeutic Application:</w:t>
      </w:r>
    </w:p>
    <w:p w:rsidR="00B17FAE" w:rsidRPr="00B17FAE" w:rsidRDefault="00B17FAE" w:rsidP="00B17FA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Oncology</w:t>
      </w:r>
    </w:p>
    <w:p w:rsidR="00B17FAE" w:rsidRPr="00B17FAE" w:rsidRDefault="00B17FAE" w:rsidP="00B17FA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Autoimmune Diseases</w:t>
      </w:r>
    </w:p>
    <w:p w:rsidR="00B17FAE" w:rsidRPr="00B17FAE" w:rsidRDefault="00B17FAE" w:rsidP="00B17FA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Infectious Diseases</w:t>
      </w:r>
    </w:p>
    <w:p w:rsidR="00B17FAE" w:rsidRPr="00B17FAE" w:rsidRDefault="00B17FAE" w:rsidP="00B17FA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Cardiovascular Disorders</w:t>
      </w:r>
    </w:p>
    <w:p w:rsidR="00B17FAE" w:rsidRPr="00B17FAE" w:rsidRDefault="00B17FAE" w:rsidP="00B17FA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Metabolic Disorders</w:t>
      </w:r>
    </w:p>
    <w:p w:rsidR="00B17FAE" w:rsidRPr="00B17FAE" w:rsidRDefault="00B17FAE" w:rsidP="00B17FA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Neurological Disorders</w:t>
      </w:r>
    </w:p>
    <w:p w:rsidR="00B17FAE" w:rsidRPr="00B17FAE" w:rsidRDefault="00B17FAE" w:rsidP="00B17FAE">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Other Applications</w:t>
      </w:r>
    </w:p>
    <w:p w:rsidR="00B17FAE" w:rsidRPr="00B17FAE" w:rsidRDefault="00595370" w:rsidP="00B17FA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3360" behindDoc="1" locked="0" layoutInCell="1" allowOverlap="1">
            <wp:simplePos x="0" y="0"/>
            <wp:positionH relativeFrom="page">
              <wp:posOffset>-82550</wp:posOffset>
            </wp:positionH>
            <wp:positionV relativeFrom="page">
              <wp:posOffset>-38100</wp:posOffset>
            </wp:positionV>
            <wp:extent cx="10222230" cy="14452600"/>
            <wp:effectExtent l="19050" t="0" r="7620" b="0"/>
            <wp:wrapNone/>
            <wp:docPr id="2"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B17FAE" w:rsidRPr="00B17FAE">
        <w:rPr>
          <w:rFonts w:ascii="Times New Roman" w:eastAsia="Times New Roman" w:hAnsi="Times New Roman" w:cs="Times New Roman"/>
          <w:sz w:val="24"/>
          <w:szCs w:val="24"/>
        </w:rPr>
        <w:t>Oncology represents the largest therapeutic application segment, driven by a high burden of cancer and increasing demand for targeted therapies and immuno-oncology products.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b/>
          <w:bCs/>
          <w:sz w:val="24"/>
          <w:szCs w:val="24"/>
        </w:rPr>
        <w:t>Market Segmentation by End-User:</w:t>
      </w:r>
    </w:p>
    <w:p w:rsidR="00B17FAE" w:rsidRPr="00B17FAE" w:rsidRDefault="00B17FAE" w:rsidP="00B17FA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Hospitals and Clinics</w:t>
      </w:r>
    </w:p>
    <w:p w:rsidR="00B17FAE" w:rsidRPr="00B17FAE" w:rsidRDefault="00B17FAE" w:rsidP="00B17FA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Research &amp; Academic Institutes</w:t>
      </w:r>
    </w:p>
    <w:p w:rsidR="00B17FAE" w:rsidRPr="00B17FAE" w:rsidRDefault="00B17FAE" w:rsidP="00B17FA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Biopharmaceutical Companies</w:t>
      </w:r>
    </w:p>
    <w:p w:rsidR="00B17FAE" w:rsidRPr="00B17FAE" w:rsidRDefault="00B17FAE" w:rsidP="00B17FAE">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Others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Hospitals and clinics are the largest end-users due to the high usage of biopharmaceuticals for critical therapies. However, research institutes are emerging as major contributors to clinical development and innovation.</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b/>
          <w:bCs/>
          <w:sz w:val="24"/>
          <w:szCs w:val="24"/>
        </w:rPr>
        <w:t>Key Players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Major companies operating in the Germany Biopharmaceutical Market include </w:t>
      </w:r>
      <w:proofErr w:type="spellStart"/>
      <w:r w:rsidRPr="00B17FAE">
        <w:rPr>
          <w:rFonts w:ascii="Times New Roman" w:eastAsia="Times New Roman" w:hAnsi="Times New Roman" w:cs="Times New Roman"/>
          <w:sz w:val="24"/>
          <w:szCs w:val="24"/>
        </w:rPr>
        <w:t>BioNTech</w:t>
      </w:r>
      <w:proofErr w:type="spellEnd"/>
      <w:r w:rsidRPr="00B17FAE">
        <w:rPr>
          <w:rFonts w:ascii="Times New Roman" w:eastAsia="Times New Roman" w:hAnsi="Times New Roman" w:cs="Times New Roman"/>
          <w:sz w:val="24"/>
          <w:szCs w:val="24"/>
        </w:rPr>
        <w:t xml:space="preserve"> SE, Bayer AG, </w:t>
      </w:r>
      <w:proofErr w:type="spellStart"/>
      <w:r w:rsidRPr="00B17FAE">
        <w:rPr>
          <w:rFonts w:ascii="Times New Roman" w:eastAsia="Times New Roman" w:hAnsi="Times New Roman" w:cs="Times New Roman"/>
          <w:sz w:val="24"/>
          <w:szCs w:val="24"/>
        </w:rPr>
        <w:t>Boehringer</w:t>
      </w:r>
      <w:proofErr w:type="spellEnd"/>
      <w:r w:rsidRPr="00B17FAE">
        <w:rPr>
          <w:rFonts w:ascii="Times New Roman" w:eastAsia="Times New Roman" w:hAnsi="Times New Roman" w:cs="Times New Roman"/>
          <w:sz w:val="24"/>
          <w:szCs w:val="24"/>
        </w:rPr>
        <w:t xml:space="preserve"> </w:t>
      </w:r>
      <w:proofErr w:type="spellStart"/>
      <w:r w:rsidRPr="00B17FAE">
        <w:rPr>
          <w:rFonts w:ascii="Times New Roman" w:eastAsia="Times New Roman" w:hAnsi="Times New Roman" w:cs="Times New Roman"/>
          <w:sz w:val="24"/>
          <w:szCs w:val="24"/>
        </w:rPr>
        <w:t>Ingelheim</w:t>
      </w:r>
      <w:proofErr w:type="spellEnd"/>
      <w:r w:rsidRPr="00B17FAE">
        <w:rPr>
          <w:rFonts w:ascii="Times New Roman" w:eastAsia="Times New Roman" w:hAnsi="Times New Roman" w:cs="Times New Roman"/>
          <w:sz w:val="24"/>
          <w:szCs w:val="24"/>
        </w:rPr>
        <w:t xml:space="preserve"> International GmbH, Merck </w:t>
      </w:r>
      <w:proofErr w:type="spellStart"/>
      <w:r w:rsidRPr="00B17FAE">
        <w:rPr>
          <w:rFonts w:ascii="Times New Roman" w:eastAsia="Times New Roman" w:hAnsi="Times New Roman" w:cs="Times New Roman"/>
          <w:sz w:val="24"/>
          <w:szCs w:val="24"/>
        </w:rPr>
        <w:t>KGaA</w:t>
      </w:r>
      <w:proofErr w:type="spellEnd"/>
      <w:r w:rsidRPr="00B17FAE">
        <w:rPr>
          <w:rFonts w:ascii="Times New Roman" w:eastAsia="Times New Roman" w:hAnsi="Times New Roman" w:cs="Times New Roman"/>
          <w:sz w:val="24"/>
          <w:szCs w:val="24"/>
        </w:rPr>
        <w:t>, Roche Holding AG, Novartis AG, Pfizer Inc., Sanofi, Amgen Inc., and AbbVie Inc.</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b/>
          <w:bCs/>
          <w:sz w:val="24"/>
          <w:szCs w:val="24"/>
        </w:rPr>
        <w:lastRenderedPageBreak/>
        <w:t>Key Developments</w:t>
      </w:r>
    </w:p>
    <w:p w:rsidR="00B17FAE" w:rsidRPr="00B17FAE" w:rsidRDefault="00B17FAE" w:rsidP="00B17FA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2023</w:t>
      </w:r>
      <w:r w:rsidRPr="00B17FAE">
        <w:rPr>
          <w:rFonts w:ascii="Times New Roman" w:eastAsia="Times New Roman" w:hAnsi="Times New Roman" w:cs="Times New Roman"/>
          <w:sz w:val="24"/>
          <w:szCs w:val="24"/>
        </w:rPr>
        <w:t xml:space="preserve">, </w:t>
      </w:r>
      <w:proofErr w:type="spellStart"/>
      <w:r w:rsidRPr="00B17FAE">
        <w:rPr>
          <w:rFonts w:ascii="Times New Roman" w:eastAsia="Times New Roman" w:hAnsi="Times New Roman" w:cs="Times New Roman"/>
          <w:sz w:val="24"/>
          <w:szCs w:val="24"/>
        </w:rPr>
        <w:t>BioNTech</w:t>
      </w:r>
      <w:proofErr w:type="spellEnd"/>
      <w:r w:rsidRPr="00B17FAE">
        <w:rPr>
          <w:rFonts w:ascii="Times New Roman" w:eastAsia="Times New Roman" w:hAnsi="Times New Roman" w:cs="Times New Roman"/>
          <w:sz w:val="24"/>
          <w:szCs w:val="24"/>
        </w:rPr>
        <w:t xml:space="preserve"> announced a strategic collaboration with </w:t>
      </w:r>
      <w:proofErr w:type="spellStart"/>
      <w:r w:rsidRPr="00B17FAE">
        <w:rPr>
          <w:rFonts w:ascii="Times New Roman" w:eastAsia="Times New Roman" w:hAnsi="Times New Roman" w:cs="Times New Roman"/>
          <w:sz w:val="24"/>
          <w:szCs w:val="24"/>
        </w:rPr>
        <w:t>DualityBio</w:t>
      </w:r>
      <w:proofErr w:type="spellEnd"/>
      <w:r w:rsidRPr="00B17FAE">
        <w:rPr>
          <w:rFonts w:ascii="Times New Roman" w:eastAsia="Times New Roman" w:hAnsi="Times New Roman" w:cs="Times New Roman"/>
          <w:sz w:val="24"/>
          <w:szCs w:val="24"/>
        </w:rPr>
        <w:t xml:space="preserve"> to advance next-generation antibody-drug conjugates (ADCs).</w:t>
      </w:r>
    </w:p>
    <w:p w:rsidR="00B17FAE" w:rsidRPr="00B17FAE" w:rsidRDefault="00B17FAE" w:rsidP="00B17FA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June 2024</w:t>
      </w:r>
      <w:r w:rsidRPr="00B17FAE">
        <w:rPr>
          <w:rFonts w:ascii="Times New Roman" w:eastAsia="Times New Roman" w:hAnsi="Times New Roman" w:cs="Times New Roman"/>
          <w:sz w:val="24"/>
          <w:szCs w:val="24"/>
        </w:rPr>
        <w:t>, Bayer expanded its cell and gene therapy manufacturing facility in Berlin.</w:t>
      </w:r>
    </w:p>
    <w:p w:rsidR="00B17FAE" w:rsidRPr="00B17FAE" w:rsidRDefault="00B17FAE" w:rsidP="00B17FAE">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April 2023</w:t>
      </w:r>
      <w:r w:rsidRPr="00B17FAE">
        <w:rPr>
          <w:rFonts w:ascii="Times New Roman" w:eastAsia="Times New Roman" w:hAnsi="Times New Roman" w:cs="Times New Roman"/>
          <w:sz w:val="24"/>
          <w:szCs w:val="24"/>
        </w:rPr>
        <w:t xml:space="preserve">, Merck </w:t>
      </w:r>
      <w:proofErr w:type="spellStart"/>
      <w:r w:rsidRPr="00B17FAE">
        <w:rPr>
          <w:rFonts w:ascii="Times New Roman" w:eastAsia="Times New Roman" w:hAnsi="Times New Roman" w:cs="Times New Roman"/>
          <w:sz w:val="24"/>
          <w:szCs w:val="24"/>
        </w:rPr>
        <w:t>KGaA</w:t>
      </w:r>
      <w:proofErr w:type="spellEnd"/>
      <w:r w:rsidRPr="00B17FAE">
        <w:rPr>
          <w:rFonts w:ascii="Times New Roman" w:eastAsia="Times New Roman" w:hAnsi="Times New Roman" w:cs="Times New Roman"/>
          <w:sz w:val="24"/>
          <w:szCs w:val="24"/>
        </w:rPr>
        <w:t xml:space="preserve"> launched a new mRNA manufacturing site in Darmstadt to strengthen its position in personalized medicine.</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b/>
          <w:bCs/>
          <w:sz w:val="24"/>
          <w:szCs w:val="24"/>
        </w:rPr>
        <w:t>Market Attractiveness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Germany offers a highly attractive biopharmaceutical market due to its innovation-friendly environment, strong reimbursement frameworks, access to skilled labor, and proximity to key European markets. Ongoing investments in biotechnology clusters and public-private partnerships enhance its competitiveness.</w:t>
      </w:r>
    </w:p>
    <w:p w:rsidR="00B17FAE" w:rsidRPr="00B17FAE" w:rsidRDefault="00595370" w:rsidP="00B17FA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5408" behindDoc="1" locked="0" layoutInCell="1" allowOverlap="1">
            <wp:simplePos x="0" y="0"/>
            <wp:positionH relativeFrom="page">
              <wp:posOffset>-44450</wp:posOffset>
            </wp:positionH>
            <wp:positionV relativeFrom="page">
              <wp:posOffset>-50800</wp:posOffset>
            </wp:positionV>
            <wp:extent cx="10222230" cy="14452600"/>
            <wp:effectExtent l="19050" t="0" r="7620" b="0"/>
            <wp:wrapNone/>
            <wp:docPr id="3"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B17FAE" w:rsidRPr="00B17FAE">
        <w:rPr>
          <w:rFonts w:ascii="Times New Roman" w:eastAsia="Times New Roman" w:hAnsi="Times New Roman" w:cs="Times New Roman"/>
          <w:b/>
          <w:bCs/>
          <w:sz w:val="24"/>
          <w:szCs w:val="24"/>
        </w:rPr>
        <w:t>Porter's Five Forces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Porter's Five Forces analysis indicates high competitive rivalry among major biopharma firms, significant entry barriers due to high R&amp;D costs, moderate bargaining power of suppliers, high bargaining power of buyers (especially healthcare institutions and government bodies), and moderate threat of substitutes with growing small-molecule biologics.</w:t>
      </w:r>
    </w:p>
    <w:p w:rsidR="00B17FAE" w:rsidRPr="00B17FAE" w:rsidRDefault="00B17FAE" w:rsidP="00B17FAE">
      <w:pPr>
        <w:spacing w:after="0" w:line="360" w:lineRule="auto"/>
        <w:jc w:val="both"/>
        <w:rPr>
          <w:rFonts w:ascii="Times New Roman" w:eastAsia="Times New Roman" w:hAnsi="Times New Roman" w:cs="Times New Roman"/>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Default="00B17FAE" w:rsidP="00B17FAE">
      <w:pPr>
        <w:spacing w:before="100" w:beforeAutospacing="1" w:after="100" w:afterAutospacing="1" w:line="360" w:lineRule="auto"/>
        <w:jc w:val="both"/>
        <w:rPr>
          <w:rFonts w:ascii="Times New Roman" w:eastAsia="Times New Roman" w:hAnsi="Times New Roman" w:cs="Times New Roman"/>
          <w:b/>
          <w:bCs/>
          <w:sz w:val="24"/>
          <w:szCs w:val="24"/>
        </w:rPr>
      </w:pPr>
    </w:p>
    <w:p w:rsidR="00B17FAE" w:rsidRPr="00B17FAE" w:rsidRDefault="00595370" w:rsidP="00B17FA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lang w:val="en-IN" w:eastAsia="en-IN"/>
        </w:rPr>
        <w:drawing>
          <wp:anchor distT="0" distB="0" distL="0" distR="0" simplePos="0" relativeHeight="251667456" behindDoc="1" locked="0" layoutInCell="1" allowOverlap="1">
            <wp:simplePos x="0" y="0"/>
            <wp:positionH relativeFrom="page">
              <wp:posOffset>-44450</wp:posOffset>
            </wp:positionH>
            <wp:positionV relativeFrom="page">
              <wp:posOffset>0</wp:posOffset>
            </wp:positionV>
            <wp:extent cx="10222230" cy="14452600"/>
            <wp:effectExtent l="19050" t="0" r="7620" b="0"/>
            <wp:wrapNone/>
            <wp:docPr id="6"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B17FAE" w:rsidRPr="00B17FAE">
        <w:rPr>
          <w:rFonts w:ascii="Times New Roman" w:eastAsia="Times New Roman" w:hAnsi="Times New Roman" w:cs="Times New Roman"/>
          <w:b/>
          <w:bCs/>
          <w:sz w:val="24"/>
          <w:szCs w:val="24"/>
        </w:rPr>
        <w:t>TABLE OF CONTENTS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1 INTRODUCTION OF GERMANY BIOPHARMACEUTICAL MARKET</w:t>
      </w:r>
    </w:p>
    <w:p w:rsid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1.1 Overview of the Market </w:t>
      </w:r>
    </w:p>
    <w:p w:rsid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1.2 Scope of Report </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1.3 Assumptions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2 EXECUTIVE SUMMARY</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3 RESEARCH METHODOLOGY</w:t>
      </w:r>
    </w:p>
    <w:p w:rsid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3.1 Data Mining </w:t>
      </w:r>
    </w:p>
    <w:p w:rsid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3.2 Validation </w:t>
      </w:r>
    </w:p>
    <w:p w:rsid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3.3 Primary Interviews </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3.4 List of Data Sources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lastRenderedPageBreak/>
        <w:t>4 GERMANY BIOPHARMACEUTICAL MARKET OUTLOOK</w:t>
      </w:r>
    </w:p>
    <w:p w:rsid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4.1 Overview </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4.2 Market Dynamics</w:t>
      </w:r>
    </w:p>
    <w:p w:rsidR="00B17FAE" w:rsidRPr="00B17FAE" w:rsidRDefault="00B17FAE" w:rsidP="00B17FA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Drivers</w:t>
      </w:r>
    </w:p>
    <w:p w:rsidR="00B17FAE" w:rsidRPr="00B17FAE" w:rsidRDefault="00B17FAE" w:rsidP="00B17FA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Restraints</w:t>
      </w:r>
    </w:p>
    <w:p w:rsidR="00B17FAE" w:rsidRPr="00B17FAE" w:rsidRDefault="00B17FAE" w:rsidP="00B17FA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Opportunities</w:t>
      </w:r>
    </w:p>
    <w:p w:rsidR="00B17FAE" w:rsidRDefault="00B17FAE" w:rsidP="00B17FAE">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Trends </w:t>
      </w:r>
    </w:p>
    <w:p w:rsidR="00B17FAE" w:rsidRDefault="00B17FAE" w:rsidP="00B17FAE">
      <w:pPr>
        <w:spacing w:before="100" w:beforeAutospacing="1" w:after="100" w:afterAutospacing="1" w:line="360" w:lineRule="auto"/>
        <w:ind w:left="720"/>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4.3 Porter's Five Force Model </w:t>
      </w:r>
    </w:p>
    <w:p w:rsidR="00B17FAE" w:rsidRPr="00B17FAE" w:rsidRDefault="00B17FAE" w:rsidP="00B17FAE">
      <w:pPr>
        <w:spacing w:before="100" w:beforeAutospacing="1" w:after="100" w:afterAutospacing="1" w:line="360" w:lineRule="auto"/>
        <w:ind w:left="720"/>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4.4 Value Chain Analysis</w:t>
      </w:r>
    </w:p>
    <w:p w:rsidR="00B17FAE" w:rsidRPr="00B17FAE" w:rsidRDefault="00595370" w:rsidP="00B17FA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69504" behindDoc="1" locked="0" layoutInCell="1" allowOverlap="1">
            <wp:simplePos x="0" y="0"/>
            <wp:positionH relativeFrom="page">
              <wp:posOffset>-25400</wp:posOffset>
            </wp:positionH>
            <wp:positionV relativeFrom="page">
              <wp:posOffset>0</wp:posOffset>
            </wp:positionV>
            <wp:extent cx="10222230" cy="14452600"/>
            <wp:effectExtent l="19050" t="0" r="7620" b="0"/>
            <wp:wrapNone/>
            <wp:docPr id="7"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B17FAE" w:rsidRPr="00B17FAE">
        <w:rPr>
          <w:rFonts w:ascii="Times New Roman" w:eastAsia="Times New Roman" w:hAnsi="Times New Roman" w:cs="Times New Roman"/>
          <w:sz w:val="24"/>
          <w:szCs w:val="24"/>
        </w:rPr>
        <w:t>5 GERMANY BIOPHARMACEUTICAL MARKET, BY PRODUCT TYPE</w:t>
      </w:r>
    </w:p>
    <w:p w:rsidR="00B17FAE" w:rsidRPr="00B17FAE" w:rsidRDefault="00B17FAE" w:rsidP="00B17FAE">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Monoclonal Antibodies (</w:t>
      </w:r>
      <w:proofErr w:type="spellStart"/>
      <w:r w:rsidRPr="00B17FAE">
        <w:rPr>
          <w:rFonts w:ascii="Times New Roman" w:eastAsia="Times New Roman" w:hAnsi="Times New Roman" w:cs="Times New Roman"/>
          <w:sz w:val="24"/>
          <w:szCs w:val="24"/>
        </w:rPr>
        <w:t>mAbs</w:t>
      </w:r>
      <w:proofErr w:type="spellEnd"/>
      <w:r w:rsidRPr="00B17FAE">
        <w:rPr>
          <w:rFonts w:ascii="Times New Roman" w:eastAsia="Times New Roman" w:hAnsi="Times New Roman" w:cs="Times New Roman"/>
          <w:sz w:val="24"/>
          <w:szCs w:val="24"/>
        </w:rPr>
        <w:t>)</w:t>
      </w:r>
    </w:p>
    <w:p w:rsidR="00B17FAE" w:rsidRPr="00B17FAE" w:rsidRDefault="00B17FAE" w:rsidP="00B17FAE">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Vaccines</w:t>
      </w:r>
    </w:p>
    <w:p w:rsidR="00B17FAE" w:rsidRPr="00B17FAE" w:rsidRDefault="00B17FAE" w:rsidP="00B17FAE">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Recombinant Proteins</w:t>
      </w:r>
    </w:p>
    <w:p w:rsidR="00B17FAE" w:rsidRPr="00B17FAE" w:rsidRDefault="00B17FAE" w:rsidP="00B17FAE">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Gene Therapy Products</w:t>
      </w:r>
    </w:p>
    <w:p w:rsidR="00B17FAE" w:rsidRPr="00B17FAE" w:rsidRDefault="00B17FAE" w:rsidP="00B17FAE">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Cell Therapy Products</w:t>
      </w:r>
    </w:p>
    <w:p w:rsidR="00B17FAE" w:rsidRPr="00B17FAE" w:rsidRDefault="00B17FAE" w:rsidP="00B17FAE">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Biosimilars</w:t>
      </w:r>
    </w:p>
    <w:p w:rsidR="00B17FAE" w:rsidRPr="00B17FAE" w:rsidRDefault="00B17FAE" w:rsidP="00B17FAE">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Others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6 GERMANY BIOPHARMACEUTICAL MARKET, BY THERAPEUTIC APPLICATION</w:t>
      </w:r>
    </w:p>
    <w:p w:rsidR="00B17FAE" w:rsidRPr="00B17FAE" w:rsidRDefault="00B17FAE" w:rsidP="00B17FAE">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Oncology</w:t>
      </w:r>
    </w:p>
    <w:p w:rsidR="00B17FAE" w:rsidRPr="00B17FAE" w:rsidRDefault="00B17FAE" w:rsidP="00B17FAE">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Autoimmune Diseases</w:t>
      </w:r>
    </w:p>
    <w:p w:rsidR="00B17FAE" w:rsidRPr="00B17FAE" w:rsidRDefault="00B17FAE" w:rsidP="00B17FAE">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Infectious Diseases</w:t>
      </w:r>
    </w:p>
    <w:p w:rsidR="00B17FAE" w:rsidRPr="00B17FAE" w:rsidRDefault="00B17FAE" w:rsidP="00B17FAE">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Cardiovascular Disorders</w:t>
      </w:r>
    </w:p>
    <w:p w:rsidR="00B17FAE" w:rsidRPr="00B17FAE" w:rsidRDefault="00B17FAE" w:rsidP="00B17FAE">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Metabolic Disorders</w:t>
      </w:r>
    </w:p>
    <w:p w:rsidR="00B17FAE" w:rsidRPr="00B17FAE" w:rsidRDefault="00B17FAE" w:rsidP="00B17FAE">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Neurological Disorders</w:t>
      </w:r>
    </w:p>
    <w:p w:rsidR="00B17FAE" w:rsidRPr="00B17FAE" w:rsidRDefault="00B17FAE" w:rsidP="00B17FAE">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Other Applications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lastRenderedPageBreak/>
        <w:t>7 GERMANY BIOPHARMACEUTICAL MARKET, BY END USER</w:t>
      </w:r>
    </w:p>
    <w:p w:rsidR="00B17FAE" w:rsidRPr="00B17FAE" w:rsidRDefault="00B17FAE" w:rsidP="00B17FA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Hospitals and Clinics</w:t>
      </w:r>
    </w:p>
    <w:p w:rsidR="00B17FAE" w:rsidRPr="00B17FAE" w:rsidRDefault="00B17FAE" w:rsidP="00B17FA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Research &amp; Academic Institutes</w:t>
      </w:r>
    </w:p>
    <w:p w:rsidR="00B17FAE" w:rsidRPr="00B17FAE" w:rsidRDefault="00B17FAE" w:rsidP="00B17FA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Biopharmaceutical Companies</w:t>
      </w:r>
    </w:p>
    <w:p w:rsidR="00B17FAE" w:rsidRPr="00B17FAE" w:rsidRDefault="00B17FAE" w:rsidP="00B17FAE">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Others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8 GERMANY BIOPHARMACEUTICAL MARKET COMPETITIVE LANDSCAPE</w:t>
      </w:r>
    </w:p>
    <w:p w:rsid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8.1 Overview </w:t>
      </w:r>
    </w:p>
    <w:p w:rsid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8.2 Company Market Ranking </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8.3 Key Development Strategies</w:t>
      </w:r>
    </w:p>
    <w:p w:rsidR="00B17FAE" w:rsidRPr="00B17FAE" w:rsidRDefault="00595370" w:rsidP="00B17FAE">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1552" behindDoc="1" locked="0" layoutInCell="1" allowOverlap="1">
            <wp:simplePos x="0" y="0"/>
            <wp:positionH relativeFrom="page">
              <wp:posOffset>-101600</wp:posOffset>
            </wp:positionH>
            <wp:positionV relativeFrom="page">
              <wp:posOffset>0</wp:posOffset>
            </wp:positionV>
            <wp:extent cx="10222230" cy="14452600"/>
            <wp:effectExtent l="19050" t="0" r="7620" b="0"/>
            <wp:wrapNone/>
            <wp:docPr id="8"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B17FAE" w:rsidRPr="00B17FAE">
        <w:rPr>
          <w:rFonts w:ascii="Times New Roman" w:eastAsia="Times New Roman" w:hAnsi="Times New Roman" w:cs="Times New Roman"/>
          <w:sz w:val="24"/>
          <w:szCs w:val="24"/>
        </w:rPr>
        <w:t>9 COMPANY PROFILES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9.1 </w:t>
      </w:r>
      <w:proofErr w:type="spellStart"/>
      <w:r w:rsidRPr="00B17FAE">
        <w:rPr>
          <w:rFonts w:ascii="Times New Roman" w:eastAsia="Times New Roman" w:hAnsi="Times New Roman" w:cs="Times New Roman"/>
          <w:sz w:val="24"/>
          <w:szCs w:val="24"/>
        </w:rPr>
        <w:t>BioNTech</w:t>
      </w:r>
      <w:proofErr w:type="spellEnd"/>
      <w:r w:rsidRPr="00B17FAE">
        <w:rPr>
          <w:rFonts w:ascii="Times New Roman" w:eastAsia="Times New Roman" w:hAnsi="Times New Roman" w:cs="Times New Roman"/>
          <w:sz w:val="24"/>
          <w:szCs w:val="24"/>
        </w:rPr>
        <w:t xml:space="preserve"> SE</w:t>
      </w:r>
    </w:p>
    <w:p w:rsidR="00B17FAE" w:rsidRPr="00B17FAE" w:rsidRDefault="00B17FAE" w:rsidP="00B17FA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9.1.1 Overview</w:t>
      </w:r>
    </w:p>
    <w:p w:rsidR="00B17FAE" w:rsidRPr="00B17FAE" w:rsidRDefault="00B17FAE" w:rsidP="00B17FA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9.1.2 Financial Performance</w:t>
      </w:r>
    </w:p>
    <w:p w:rsidR="00B17FAE" w:rsidRPr="00B17FAE" w:rsidRDefault="00B17FAE" w:rsidP="00B17FA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9.1.3 Product Outlook</w:t>
      </w:r>
    </w:p>
    <w:p w:rsidR="00B17FAE" w:rsidRPr="00B17FAE" w:rsidRDefault="00B17FAE" w:rsidP="00B17FAE">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9.1.4 Key Developments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9.2 Bayer AG</w:t>
      </w:r>
    </w:p>
    <w:p w:rsidR="00B17FAE" w:rsidRPr="00B17FAE" w:rsidRDefault="00B17FAE" w:rsidP="00B17FA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9.2.1 Overview</w:t>
      </w:r>
    </w:p>
    <w:p w:rsidR="00B17FAE" w:rsidRPr="00B17FAE" w:rsidRDefault="00B17FAE" w:rsidP="00B17FA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9.2.2 Financial Performance</w:t>
      </w:r>
    </w:p>
    <w:p w:rsidR="00B17FAE" w:rsidRPr="00B17FAE" w:rsidRDefault="00B17FAE" w:rsidP="00B17FA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9.2.3 Product Outlook</w:t>
      </w:r>
    </w:p>
    <w:p w:rsidR="00B17FAE" w:rsidRPr="00B17FAE" w:rsidRDefault="00B17FAE" w:rsidP="00B17FAE">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9.2.4 Key Developments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9.3 </w:t>
      </w:r>
      <w:proofErr w:type="spellStart"/>
      <w:r w:rsidRPr="00B17FAE">
        <w:rPr>
          <w:rFonts w:ascii="Times New Roman" w:eastAsia="Times New Roman" w:hAnsi="Times New Roman" w:cs="Times New Roman"/>
          <w:sz w:val="24"/>
          <w:szCs w:val="24"/>
        </w:rPr>
        <w:t>Boehringer</w:t>
      </w:r>
      <w:proofErr w:type="spellEnd"/>
      <w:r w:rsidRPr="00B17FAE">
        <w:rPr>
          <w:rFonts w:ascii="Times New Roman" w:eastAsia="Times New Roman" w:hAnsi="Times New Roman" w:cs="Times New Roman"/>
          <w:sz w:val="24"/>
          <w:szCs w:val="24"/>
        </w:rPr>
        <w:t xml:space="preserve"> </w:t>
      </w:r>
      <w:proofErr w:type="spellStart"/>
      <w:r w:rsidRPr="00B17FAE">
        <w:rPr>
          <w:rFonts w:ascii="Times New Roman" w:eastAsia="Times New Roman" w:hAnsi="Times New Roman" w:cs="Times New Roman"/>
          <w:sz w:val="24"/>
          <w:szCs w:val="24"/>
        </w:rPr>
        <w:t>Ingelheim</w:t>
      </w:r>
      <w:proofErr w:type="spellEnd"/>
      <w:r w:rsidRPr="00B17FAE">
        <w:rPr>
          <w:rFonts w:ascii="Times New Roman" w:eastAsia="Times New Roman" w:hAnsi="Times New Roman" w:cs="Times New Roman"/>
          <w:sz w:val="24"/>
          <w:szCs w:val="24"/>
        </w:rPr>
        <w:t xml:space="preserve"> International GmbH</w:t>
      </w:r>
    </w:p>
    <w:p w:rsidR="00B17FAE" w:rsidRPr="00B17FAE" w:rsidRDefault="00B17FAE" w:rsidP="00B17F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9.3.1 Overview</w:t>
      </w:r>
    </w:p>
    <w:p w:rsidR="00B17FAE" w:rsidRPr="00B17FAE" w:rsidRDefault="00B17FAE" w:rsidP="00B17F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9.3.2 Financial Performance</w:t>
      </w:r>
    </w:p>
    <w:p w:rsidR="00B17FAE" w:rsidRPr="00B17FAE" w:rsidRDefault="00B17FAE" w:rsidP="00B17F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lastRenderedPageBreak/>
        <w:t>9.3.3 Product Outlook</w:t>
      </w:r>
    </w:p>
    <w:p w:rsidR="00B17FAE" w:rsidRPr="00B17FAE" w:rsidRDefault="00B17FAE" w:rsidP="00B17FAE">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9.3.4 Key Developments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 xml:space="preserve">9.4 Merck </w:t>
      </w:r>
      <w:proofErr w:type="spellStart"/>
      <w:r w:rsidRPr="00B17FAE">
        <w:rPr>
          <w:rFonts w:ascii="Times New Roman" w:eastAsia="Times New Roman" w:hAnsi="Times New Roman" w:cs="Times New Roman"/>
          <w:sz w:val="24"/>
          <w:szCs w:val="24"/>
        </w:rPr>
        <w:t>KGaA</w:t>
      </w:r>
      <w:proofErr w:type="spellEnd"/>
    </w:p>
    <w:p w:rsidR="00B17FAE" w:rsidRPr="00B17FAE" w:rsidRDefault="00B17FAE" w:rsidP="00B17FA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9.4.1 Overview</w:t>
      </w:r>
    </w:p>
    <w:p w:rsidR="00B17FAE" w:rsidRPr="00B17FAE" w:rsidRDefault="00B17FAE" w:rsidP="00B17FA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9.4.2 Financial Performance</w:t>
      </w:r>
    </w:p>
    <w:p w:rsidR="00B17FAE" w:rsidRPr="00B17FAE" w:rsidRDefault="00B17FAE" w:rsidP="00B17FA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9.4.3 Product Outlook</w:t>
      </w:r>
    </w:p>
    <w:p w:rsidR="00B17FAE" w:rsidRPr="00B17FAE" w:rsidRDefault="00B17FAE" w:rsidP="00B17FAE">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9.4.4 Key Developments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9.5 Roche Holding AG</w:t>
      </w:r>
    </w:p>
    <w:p w:rsidR="00B17FAE" w:rsidRPr="00B17FAE" w:rsidRDefault="00B17FAE" w:rsidP="00B17FAE">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9.5.1 Overview</w:t>
      </w:r>
    </w:p>
    <w:p w:rsidR="00B17FAE" w:rsidRPr="00B17FAE" w:rsidRDefault="00B17FAE" w:rsidP="00B17FAE">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9.5.2 Financial Performance</w:t>
      </w:r>
    </w:p>
    <w:p w:rsidR="00B17FAE" w:rsidRPr="00B17FAE" w:rsidRDefault="00595370" w:rsidP="00B17FAE">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3600" behindDoc="1" locked="0" layoutInCell="1" allowOverlap="1">
            <wp:simplePos x="0" y="0"/>
            <wp:positionH relativeFrom="page">
              <wp:posOffset>-44450</wp:posOffset>
            </wp:positionH>
            <wp:positionV relativeFrom="page">
              <wp:posOffset>0</wp:posOffset>
            </wp:positionV>
            <wp:extent cx="10222230" cy="14452600"/>
            <wp:effectExtent l="19050" t="0" r="7620" b="0"/>
            <wp:wrapNone/>
            <wp:docPr id="9"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B17FAE" w:rsidRPr="00B17FAE">
        <w:rPr>
          <w:rFonts w:ascii="Times New Roman" w:eastAsia="Times New Roman" w:hAnsi="Times New Roman" w:cs="Times New Roman"/>
          <w:sz w:val="24"/>
          <w:szCs w:val="24"/>
        </w:rPr>
        <w:t>9.5.3 Product Outlook</w:t>
      </w:r>
    </w:p>
    <w:p w:rsidR="00B17FAE" w:rsidRPr="00B17FAE" w:rsidRDefault="00B17FAE" w:rsidP="00B17FAE">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9.5.4 Key Developments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9.6 Novartis AG</w:t>
      </w:r>
    </w:p>
    <w:p w:rsidR="00B17FAE" w:rsidRPr="00B17FAE" w:rsidRDefault="00B17FAE" w:rsidP="00B17FAE">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9.6.1 Overview</w:t>
      </w:r>
    </w:p>
    <w:p w:rsidR="00B17FAE" w:rsidRPr="00B17FAE" w:rsidRDefault="00B17FAE" w:rsidP="00B17FAE">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9.6.2 Financial Performance</w:t>
      </w:r>
    </w:p>
    <w:p w:rsidR="00B17FAE" w:rsidRPr="00B17FAE" w:rsidRDefault="00B17FAE" w:rsidP="00B17FAE">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9.6.3 Product Outlook</w:t>
      </w:r>
    </w:p>
    <w:p w:rsidR="00B17FAE" w:rsidRPr="00B17FAE" w:rsidRDefault="00B17FAE" w:rsidP="00B17FAE">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9.6.4 Key Developments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9.7 Pfizer Inc.</w:t>
      </w:r>
    </w:p>
    <w:p w:rsidR="00B17FAE" w:rsidRPr="00B17FAE" w:rsidRDefault="00B17FAE" w:rsidP="00B17FA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9.7.1 Overview</w:t>
      </w:r>
    </w:p>
    <w:p w:rsidR="00B17FAE" w:rsidRPr="00B17FAE" w:rsidRDefault="00B17FAE" w:rsidP="00B17FA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9.7.2 Financial Performance</w:t>
      </w:r>
    </w:p>
    <w:p w:rsidR="00B17FAE" w:rsidRPr="00B17FAE" w:rsidRDefault="00B17FAE" w:rsidP="00B17FA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9.7.3 Product Outlook</w:t>
      </w:r>
    </w:p>
    <w:p w:rsidR="00B17FAE" w:rsidRPr="00B17FAE" w:rsidRDefault="00B17FAE" w:rsidP="00B17FAE">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9.7.4 Key Developments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9.8 Sanofi</w:t>
      </w:r>
    </w:p>
    <w:p w:rsidR="00B17FAE" w:rsidRPr="00B17FAE" w:rsidRDefault="00B17FAE" w:rsidP="00B17FAE">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9.8.1 Overview</w:t>
      </w:r>
    </w:p>
    <w:p w:rsidR="00B17FAE" w:rsidRPr="00B17FAE" w:rsidRDefault="00B17FAE" w:rsidP="00B17FAE">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lastRenderedPageBreak/>
        <w:t>9.8.2 Financial Performance</w:t>
      </w:r>
    </w:p>
    <w:p w:rsidR="00B17FAE" w:rsidRPr="00B17FAE" w:rsidRDefault="00B17FAE" w:rsidP="00B17FAE">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9.8.3 Product Outlook</w:t>
      </w:r>
    </w:p>
    <w:p w:rsidR="00B17FAE" w:rsidRPr="00B17FAE" w:rsidRDefault="00B17FAE" w:rsidP="00B17FAE">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9.8.4 Key Developments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9.9 Amgen Inc.</w:t>
      </w:r>
    </w:p>
    <w:p w:rsidR="00B17FAE" w:rsidRPr="00B17FAE" w:rsidRDefault="00B17FAE" w:rsidP="00B17FAE">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9.9.1 Overview</w:t>
      </w:r>
    </w:p>
    <w:p w:rsidR="00B17FAE" w:rsidRPr="00B17FAE" w:rsidRDefault="00B17FAE" w:rsidP="00B17FAE">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9.9.2 Financial Performance</w:t>
      </w:r>
    </w:p>
    <w:p w:rsidR="00B17FAE" w:rsidRPr="00B17FAE" w:rsidRDefault="00B17FAE" w:rsidP="00B17FAE">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9.9.3 Product Outlook</w:t>
      </w:r>
    </w:p>
    <w:p w:rsidR="00B17FAE" w:rsidRPr="00B17FAE" w:rsidRDefault="00B17FAE" w:rsidP="00B17FAE">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9.9.4 Key Developments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9.10 AbbVie Inc.</w:t>
      </w:r>
    </w:p>
    <w:p w:rsidR="00B17FAE" w:rsidRPr="00B17FAE" w:rsidRDefault="00B17FAE" w:rsidP="00B17FAE">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9.10.1 Overview</w:t>
      </w:r>
    </w:p>
    <w:p w:rsidR="00B17FAE" w:rsidRPr="00B17FAE" w:rsidRDefault="00595370" w:rsidP="00B17FAE">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anchor distT="0" distB="0" distL="0" distR="0" simplePos="0" relativeHeight="251675648" behindDoc="1" locked="0" layoutInCell="1" allowOverlap="1">
            <wp:simplePos x="0" y="0"/>
            <wp:positionH relativeFrom="page">
              <wp:posOffset>-12700</wp:posOffset>
            </wp:positionH>
            <wp:positionV relativeFrom="page">
              <wp:posOffset>-31750</wp:posOffset>
            </wp:positionV>
            <wp:extent cx="10222230" cy="14452600"/>
            <wp:effectExtent l="19050" t="0" r="7620" b="0"/>
            <wp:wrapNone/>
            <wp:docPr id="10" name="Picture 191600643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2230" cy="14452600"/>
                    </a:xfrm>
                    <a:prstGeom prst="rect">
                      <a:avLst/>
                    </a:prstGeom>
                  </pic:spPr>
                </pic:pic>
              </a:graphicData>
            </a:graphic>
          </wp:anchor>
        </w:drawing>
      </w:r>
      <w:r w:rsidR="00B17FAE" w:rsidRPr="00B17FAE">
        <w:rPr>
          <w:rFonts w:ascii="Times New Roman" w:eastAsia="Times New Roman" w:hAnsi="Times New Roman" w:cs="Times New Roman"/>
          <w:sz w:val="24"/>
          <w:szCs w:val="24"/>
        </w:rPr>
        <w:t>9.10.2 Financial Performance</w:t>
      </w:r>
    </w:p>
    <w:p w:rsidR="00B17FAE" w:rsidRPr="00B17FAE" w:rsidRDefault="00B17FAE" w:rsidP="00B17FAE">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9.10.3 Product Outlook</w:t>
      </w:r>
    </w:p>
    <w:p w:rsidR="00B17FAE" w:rsidRPr="00B17FAE" w:rsidRDefault="00B17FAE" w:rsidP="00B17FAE">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9.10.4 Key Developments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10 KEY DEVELOPMENTS</w:t>
      </w:r>
    </w:p>
    <w:p w:rsidR="00B17FAE" w:rsidRPr="00B17FAE" w:rsidRDefault="00B17FAE" w:rsidP="00B17FAE">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Product Launches/Developments</w:t>
      </w:r>
    </w:p>
    <w:p w:rsidR="00B17FAE" w:rsidRPr="00B17FAE" w:rsidRDefault="00B17FAE" w:rsidP="00B17FAE">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Mergers and Acquisitions</w:t>
      </w:r>
    </w:p>
    <w:p w:rsidR="00B17FAE" w:rsidRPr="00B17FAE" w:rsidRDefault="00B17FAE" w:rsidP="00B17FAE">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Business Expansions</w:t>
      </w:r>
    </w:p>
    <w:p w:rsidR="00B17FAE" w:rsidRPr="00B17FAE" w:rsidRDefault="00B17FAE" w:rsidP="00B17FAE">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Partnerships and Collaborations</w:t>
      </w:r>
    </w:p>
    <w:p w:rsidR="00B17FAE" w:rsidRPr="00B17FAE" w:rsidRDefault="00B17FAE" w:rsidP="00B17FAE">
      <w:p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11 APPENDIX</w:t>
      </w:r>
    </w:p>
    <w:p w:rsidR="00B17FAE" w:rsidRPr="00B17FAE" w:rsidRDefault="00B17FAE" w:rsidP="00B17FAE">
      <w:pPr>
        <w:numPr>
          <w:ilvl w:val="0"/>
          <w:numId w:val="20"/>
        </w:numPr>
        <w:spacing w:before="100" w:beforeAutospacing="1" w:after="100" w:afterAutospacing="1" w:line="360" w:lineRule="auto"/>
        <w:jc w:val="both"/>
        <w:rPr>
          <w:rFonts w:ascii="Times New Roman" w:eastAsia="Times New Roman" w:hAnsi="Times New Roman" w:cs="Times New Roman"/>
          <w:sz w:val="24"/>
          <w:szCs w:val="24"/>
        </w:rPr>
      </w:pPr>
      <w:r w:rsidRPr="00B17FAE">
        <w:rPr>
          <w:rFonts w:ascii="Times New Roman" w:eastAsia="Times New Roman" w:hAnsi="Times New Roman" w:cs="Times New Roman"/>
          <w:sz w:val="24"/>
          <w:szCs w:val="24"/>
        </w:rPr>
        <w:t>Related Research</w:t>
      </w:r>
    </w:p>
    <w:p w:rsidR="00B17FAE" w:rsidRPr="00B17FAE" w:rsidRDefault="00B17FAE" w:rsidP="00B17FAE">
      <w:pPr>
        <w:spacing w:after="0" w:line="360" w:lineRule="auto"/>
        <w:jc w:val="both"/>
        <w:rPr>
          <w:rFonts w:ascii="Times New Roman" w:eastAsia="Times New Roman" w:hAnsi="Times New Roman" w:cs="Times New Roman"/>
          <w:sz w:val="24"/>
          <w:szCs w:val="24"/>
        </w:rPr>
      </w:pPr>
    </w:p>
    <w:p w:rsidR="00CA0B1D" w:rsidRDefault="00CA0B1D" w:rsidP="00B17FAE">
      <w:pPr>
        <w:spacing w:line="360" w:lineRule="auto"/>
        <w:jc w:val="both"/>
      </w:pPr>
    </w:p>
    <w:sectPr w:rsidR="00CA0B1D" w:rsidSect="00CA0B1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D3DFE"/>
    <w:multiLevelType w:val="multilevel"/>
    <w:tmpl w:val="0892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B0BFA"/>
    <w:multiLevelType w:val="multilevel"/>
    <w:tmpl w:val="5968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22C8F"/>
    <w:multiLevelType w:val="multilevel"/>
    <w:tmpl w:val="3EC8D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DA01EE"/>
    <w:multiLevelType w:val="multilevel"/>
    <w:tmpl w:val="87124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47967"/>
    <w:multiLevelType w:val="multilevel"/>
    <w:tmpl w:val="5BE4D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E2DC4"/>
    <w:multiLevelType w:val="multilevel"/>
    <w:tmpl w:val="FA0C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A2357D"/>
    <w:multiLevelType w:val="multilevel"/>
    <w:tmpl w:val="5214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5E06D0"/>
    <w:multiLevelType w:val="multilevel"/>
    <w:tmpl w:val="F004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E7682"/>
    <w:multiLevelType w:val="multilevel"/>
    <w:tmpl w:val="414A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66452"/>
    <w:multiLevelType w:val="multilevel"/>
    <w:tmpl w:val="ECF2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BF3245"/>
    <w:multiLevelType w:val="multilevel"/>
    <w:tmpl w:val="6060D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0B0CEB"/>
    <w:multiLevelType w:val="multilevel"/>
    <w:tmpl w:val="7C3A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D06444"/>
    <w:multiLevelType w:val="multilevel"/>
    <w:tmpl w:val="9A0A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E04348"/>
    <w:multiLevelType w:val="multilevel"/>
    <w:tmpl w:val="DF2C3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E80B32"/>
    <w:multiLevelType w:val="multilevel"/>
    <w:tmpl w:val="399EB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B12FA"/>
    <w:multiLevelType w:val="multilevel"/>
    <w:tmpl w:val="6BDE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943097"/>
    <w:multiLevelType w:val="multilevel"/>
    <w:tmpl w:val="B8F28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DA53D0"/>
    <w:multiLevelType w:val="multilevel"/>
    <w:tmpl w:val="28EAF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1A01EC"/>
    <w:multiLevelType w:val="multilevel"/>
    <w:tmpl w:val="CC8C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5F7046"/>
    <w:multiLevelType w:val="multilevel"/>
    <w:tmpl w:val="EEB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4"/>
  </w:num>
  <w:num w:numId="4">
    <w:abstractNumId w:val="19"/>
  </w:num>
  <w:num w:numId="5">
    <w:abstractNumId w:val="18"/>
  </w:num>
  <w:num w:numId="6">
    <w:abstractNumId w:val="11"/>
  </w:num>
  <w:num w:numId="7">
    <w:abstractNumId w:val="17"/>
  </w:num>
  <w:num w:numId="8">
    <w:abstractNumId w:val="9"/>
  </w:num>
  <w:num w:numId="9">
    <w:abstractNumId w:val="8"/>
  </w:num>
  <w:num w:numId="10">
    <w:abstractNumId w:val="10"/>
  </w:num>
  <w:num w:numId="11">
    <w:abstractNumId w:val="3"/>
  </w:num>
  <w:num w:numId="12">
    <w:abstractNumId w:val="2"/>
  </w:num>
  <w:num w:numId="13">
    <w:abstractNumId w:val="5"/>
  </w:num>
  <w:num w:numId="14">
    <w:abstractNumId w:val="15"/>
  </w:num>
  <w:num w:numId="15">
    <w:abstractNumId w:val="4"/>
  </w:num>
  <w:num w:numId="16">
    <w:abstractNumId w:val="6"/>
  </w:num>
  <w:num w:numId="17">
    <w:abstractNumId w:val="13"/>
  </w:num>
  <w:num w:numId="18">
    <w:abstractNumId w:val="7"/>
  </w:num>
  <w:num w:numId="19">
    <w:abstractNumId w:val="1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17FAE"/>
    <w:rsid w:val="00595370"/>
    <w:rsid w:val="00B17FAE"/>
    <w:rsid w:val="00CA0B1D"/>
    <w:rsid w:val="00FC3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374C9"/>
  <w15:docId w15:val="{B9F7B171-8D59-4E85-9362-B9E040AAE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FA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7F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928374">
      <w:bodyDiv w:val="1"/>
      <w:marLeft w:val="0"/>
      <w:marRight w:val="0"/>
      <w:marTop w:val="0"/>
      <w:marBottom w:val="0"/>
      <w:divBdr>
        <w:top w:val="none" w:sz="0" w:space="0" w:color="auto"/>
        <w:left w:val="none" w:sz="0" w:space="0" w:color="auto"/>
        <w:bottom w:val="none" w:sz="0" w:space="0" w:color="auto"/>
        <w:right w:val="none" w:sz="0" w:space="0" w:color="auto"/>
      </w:divBdr>
      <w:divsChild>
        <w:div w:id="2024890291">
          <w:marLeft w:val="0"/>
          <w:marRight w:val="0"/>
          <w:marTop w:val="0"/>
          <w:marBottom w:val="0"/>
          <w:divBdr>
            <w:top w:val="none" w:sz="0" w:space="0" w:color="auto"/>
            <w:left w:val="none" w:sz="0" w:space="0" w:color="auto"/>
            <w:bottom w:val="none" w:sz="0" w:space="0" w:color="auto"/>
            <w:right w:val="none" w:sz="0" w:space="0" w:color="auto"/>
          </w:divBdr>
        </w:div>
        <w:div w:id="8340302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1101</Words>
  <Characters>6281</Characters>
  <Application>Microsoft Office Word</Application>
  <DocSecurity>0</DocSecurity>
  <Lines>52</Lines>
  <Paragraphs>14</Paragraphs>
  <ScaleCrop>false</ScaleCrop>
  <Company/>
  <LinksUpToDate>false</LinksUpToDate>
  <CharactersWithSpaces>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4</cp:revision>
  <dcterms:created xsi:type="dcterms:W3CDTF">2025-04-26T14:14:00Z</dcterms:created>
  <dcterms:modified xsi:type="dcterms:W3CDTF">2025-05-13T11:26:00Z</dcterms:modified>
</cp:coreProperties>
</file>