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Germany Cardiovascular Devices Market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-670559</wp:posOffset>
            </wp:positionH>
            <wp:positionV relativeFrom="page">
              <wp:posOffset>-1325879</wp:posOffset>
            </wp:positionV>
            <wp:extent cx="10229057" cy="14466708"/>
            <wp:effectExtent l="0" t="0" r="0" b="0"/>
            <wp:wrapNone/>
            <wp:docPr id="35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05E0" w:rsidRDefault="00EA34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Germany Cardiovascular Devices Market was valued at approximately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USD </w:t>
      </w:r>
      <w:r>
        <w:rPr>
          <w:rFonts w:ascii="Times New Roman" w:eastAsia="Times New Roman" w:hAnsi="Times New Roman" w:cs="Times New Roman"/>
          <w:sz w:val="24"/>
          <w:szCs w:val="24"/>
        </w:rPr>
        <w:t>5,240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million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2024 and is projected to reach USD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7366.10 million,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growing at a </w:t>
      </w:r>
      <w:r>
        <w:rPr>
          <w:rFonts w:ascii="Times New Roman" w:eastAsia="Times New Roman" w:hAnsi="Times New Roman" w:cs="Times New Roman"/>
          <w:sz w:val="24"/>
          <w:szCs w:val="24"/>
        </w:rPr>
        <w:t>compound annual growth rate (CAGR) of 5.25%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forecast period (2024-2032).</w:t>
      </w:r>
    </w:p>
    <w:p w:rsidR="00EA3456" w:rsidRDefault="00EA345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many Card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Germany Cardiovascular Devices Market 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Cardiovascular devices are medical instruments used to diagnose, monitor, and treat heart-related disorders and conditions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includes diagnostic and monitoring equipment like ECG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monitors, as well as therapeutic and surgical tools such as stents, pacemakers, catheters, and implantable defibrillators. With the increasing burden of lifestyle diseases and the agin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population in Germany, cardiovascular devices are becoming an integral component of the national healthcare system. The continuous evolution in materials, miniaturization, and AI-based data analytics is enhancing device performance and reliability.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ny Cardiovascular Devices Market 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Germany is experiencing an increasing demand for cardiovascular devices, driven by a rise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cardiovascular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disease prevalence, a growing elderly population, and enhanced access to innovative healthcare technologi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es. The market is further supported by government programs focused on preventive care and digital health transformation, especially within cardiac diagnostics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treatment infrastructure. The growing inclination toward minimally invasive procedures, weara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 cardiac monitors, and AI-driven imaging diagnostics are further shaping the market landscape in Germany.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Germany Cardiovascular Devices Market Segmentation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Germany Cardiovascular Devices Market is segmented based on Product Type, Applicat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ion, End-user, and Geography. Each segment contributes uniquely to the overall market demand and is influenced by evolving medical practices and technological innovation.</w:t>
      </w:r>
    </w:p>
    <w:p w:rsidR="001D05E0" w:rsidRDefault="00EA3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By Product Type</w:t>
      </w:r>
    </w:p>
    <w:p w:rsidR="001D05E0" w:rsidRDefault="00EA3456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Diagnostic and Monitoring Devices</w:t>
      </w:r>
    </w:p>
    <w:p w:rsidR="001D05E0" w:rsidRDefault="00EA345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-13170</wp:posOffset>
            </wp:positionH>
            <wp:positionV relativeFrom="page">
              <wp:posOffset>18770</wp:posOffset>
            </wp:positionV>
            <wp:extent cx="10229057" cy="14466708"/>
            <wp:effectExtent l="0" t="0" r="0" b="0"/>
            <wp:wrapNone/>
            <wp:docPr id="31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Electrocardiogram (ECG)</w:t>
      </w:r>
    </w:p>
    <w:p w:rsidR="001D05E0" w:rsidRDefault="00EA345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Remote Cardiac Monitoring</w:t>
      </w:r>
    </w:p>
    <w:p w:rsidR="001D05E0" w:rsidRDefault="00EA345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Diagnostic and Monitoring Devices</w:t>
      </w:r>
    </w:p>
    <w:p w:rsidR="001D05E0" w:rsidRDefault="00EA3456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Therapeutic and Surgical Devices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Cardiac Assist Devices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Cardiac Rhythm Management Devices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Catheters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Grafts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 Valves</w:t>
      </w:r>
    </w:p>
    <w:p w:rsidR="001D05E0" w:rsidRDefault="00EA3456">
      <w:pPr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Stents</w:t>
      </w:r>
    </w:p>
    <w:p w:rsidR="001D05E0" w:rsidRDefault="00EA3456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Therapeutic and Surgical Devices</w:t>
      </w:r>
    </w:p>
    <w:p w:rsidR="001D05E0" w:rsidRDefault="00EA3456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5E0" w:rsidRDefault="00EA3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. Germany Cardiovascular Devices Market, By Application</w:t>
      </w:r>
    </w:p>
    <w:p w:rsidR="001D05E0" w:rsidRDefault="00EA3456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Coronary Artery Disease</w:t>
      </w:r>
    </w:p>
    <w:p w:rsidR="001D05E0" w:rsidRDefault="00EA345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Arrhythmia</w:t>
      </w:r>
    </w:p>
    <w:p w:rsidR="001D05E0" w:rsidRDefault="00EA345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 Failure</w:t>
      </w:r>
    </w:p>
    <w:p w:rsidR="001D05E0" w:rsidRDefault="00EA345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Peripheral Artery Disease</w:t>
      </w:r>
    </w:p>
    <w:p w:rsidR="001D05E0" w:rsidRDefault="00EA345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Cardiomyopathy</w:t>
      </w:r>
    </w:p>
    <w:p w:rsidR="001D05E0" w:rsidRDefault="00EA345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Congenital Heart Defects</w:t>
      </w:r>
    </w:p>
    <w:p w:rsidR="001D05E0" w:rsidRDefault="00EA3456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5E0" w:rsidRDefault="00EA3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. Germany Cardiovascular Devices Market, By End-User</w:t>
      </w:r>
    </w:p>
    <w:p w:rsidR="001D05E0" w:rsidRDefault="00EA3456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Hospitals and Cardiac Centers</w:t>
      </w:r>
    </w:p>
    <w:p w:rsidR="001D05E0" w:rsidRDefault="00EA345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Ambulatory Surgical Centers (ASCs)</w:t>
      </w:r>
    </w:p>
    <w:p w:rsidR="001D05E0" w:rsidRDefault="00EA345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Diagnostic Centers</w:t>
      </w:r>
    </w:p>
    <w:p w:rsidR="001D05E0" w:rsidRDefault="00EA345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Care Settings</w:t>
      </w:r>
    </w:p>
    <w:p w:rsidR="001D05E0" w:rsidRDefault="00EA3456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5E0" w:rsidRDefault="00EA3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. Germany Cardiovascular Devices Market, By Technology</w:t>
      </w:r>
    </w:p>
    <w:p w:rsidR="001D05E0" w:rsidRDefault="00EA3456">
      <w:pPr>
        <w:numPr>
          <w:ilvl w:val="0"/>
          <w:numId w:val="13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Invasive Devices</w:t>
      </w:r>
    </w:p>
    <w:p w:rsidR="001D05E0" w:rsidRDefault="00EA3456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Non-Invasive Devices</w:t>
      </w:r>
    </w:p>
    <w:p w:rsidR="001D05E0" w:rsidRDefault="00EA3456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Minimally Invasive Devices</w:t>
      </w:r>
    </w:p>
    <w:p w:rsidR="001D05E0" w:rsidRDefault="00EA3456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5E0" w:rsidRDefault="00EA34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. Germany Cardiovascular Devices Market, By Region</w:t>
      </w:r>
    </w:p>
    <w:p w:rsidR="001D05E0" w:rsidRDefault="00EA3456">
      <w:pPr>
        <w:numPr>
          <w:ilvl w:val="0"/>
          <w:numId w:val="12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Munich</w:t>
      </w:r>
    </w:p>
    <w:p w:rsidR="001D05E0" w:rsidRDefault="00EA3456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Berlin</w:t>
      </w: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 Players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Prominent companies operating in the Germany Cardiovascular Devices Market include:</w:t>
      </w:r>
    </w:p>
    <w:p w:rsidR="001D05E0" w:rsidRDefault="00EA34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Medtronic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page">
              <wp:posOffset>-365759</wp:posOffset>
            </wp:positionH>
            <wp:positionV relativeFrom="page">
              <wp:posOffset>-1021079</wp:posOffset>
            </wp:positionV>
            <wp:extent cx="10229057" cy="14466708"/>
            <wp:effectExtent l="0" t="0" r="0" b="0"/>
            <wp:wrapNone/>
            <wp:docPr id="34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05E0" w:rsidRDefault="00EA34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Abbott Laboratories</w:t>
      </w:r>
    </w:p>
    <w:p w:rsidR="001D05E0" w:rsidRDefault="00EA34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Boston Scientific Corporation</w:t>
      </w:r>
    </w:p>
    <w:p w:rsidR="001D05E0" w:rsidRDefault="00EA34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Biotronik</w:t>
      </w:r>
      <w:proofErr w:type="spellEnd"/>
    </w:p>
    <w:p w:rsidR="001D05E0" w:rsidRDefault="00EA34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Edwards Lifesciences Corporation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firms continuously drive innovation, focusing on AI integration, wearable cardiac monitors, and minimally invasive cardiovascular technologies. Strategic mergers, acquisitions, and R&amp;D investments are central to maintaining competitive advantages.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 Developments</w:t>
      </w:r>
    </w:p>
    <w:p w:rsidR="001D05E0" w:rsidRDefault="00EA34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2024,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Biotronik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introduced a next-generation implantable cardiac defibrillator with advanced remote monitoring capabilities.</w:t>
      </w:r>
    </w:p>
    <w:p w:rsidR="001D05E0" w:rsidRDefault="00EA34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March 2024, Abbott received CE Mark approval in Europe for its Assert-IQ™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cardiac monitor (ICM). This device offers long-term remote monitoring for irregular heart rhythms, including atrial fibrillation, with a battery life of up to six years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05E0" w:rsidRDefault="00EA34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2024, Boston Scientific announced the expansion of its research and development facility in Germany, focusing on the development of catheter-based cardiovascular treatments.</w:t>
      </w:r>
    </w:p>
    <w:p w:rsidR="001D05E0" w:rsidRDefault="00EA34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2024, Medtronic partnered with German healthcare institutions to pilot 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ificial intelligence (AI)-based remote cardiac diagnostics.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Market Attractiveness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Germany remains a highly attractive market due to its leadership in healthcare technology, robust reimbursement policies, and comprehensive cardiac care infrastructure.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country’s focus on digital health integration further strengthens its market positioning. Moreover, Germany’s proactive investment in smart hospitals and eHealth platforms fosters a strong environment for next-generation cardiovascular devices.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Porter’s Fi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 Forces</w:t>
      </w:r>
    </w:p>
    <w:p w:rsidR="001D05E0" w:rsidRDefault="00EA34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Threat of New Entrants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Moderate. While entry is possible due to Germany's supportive medical device regulations, high capital investment, brand loyalty, and strict EU MDR compliance pose barriers.</w:t>
      </w:r>
    </w:p>
    <w:p w:rsidR="001D05E0" w:rsidRDefault="00EA34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Bargaining Power of Suppliers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Low to Moderate. Due to the presence of multiple component suppliers, but dependency on high-tech innovations gives some leverage to niche suppliers.</w:t>
      </w:r>
    </w:p>
    <w:p w:rsidR="001D05E0" w:rsidRDefault="00EA34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Bargaining Power of Buyers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High. Hospitals and large healthcare networks have significant negotiating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ower due to bulk purchases, price sensitivity, and reimbursement-driven pricing mechanisms.</w:t>
      </w:r>
    </w:p>
    <w:p w:rsidR="001D05E0" w:rsidRDefault="00EA34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Threat of Substitutes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Low. Cardiovascular devices have limited substitutes due to the critical nature of heart treatments and their increasing precision in interve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ntion.</w:t>
      </w:r>
    </w:p>
    <w:p w:rsidR="001D05E0" w:rsidRDefault="00EA34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Industry Rivalry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High. The market has several established global and domestic players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page">
              <wp:posOffset>-213359</wp:posOffset>
            </wp:positionH>
            <wp:positionV relativeFrom="page">
              <wp:posOffset>-868679</wp:posOffset>
            </wp:positionV>
            <wp:extent cx="10229057" cy="14466708"/>
            <wp:effectExtent l="0" t="0" r="0" b="0"/>
            <wp:wrapNone/>
            <wp:docPr id="36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competing through innovation, regulatory approvals, pricing strategies, and strategic partnerships.</w:t>
      </w: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 OF CONTENT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OF GERMANY CARDIOVASCULAR DEVICES MARKET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 Overview of the Market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 Scope of Report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 Assumptions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EXECUTIVE SUMMARY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RESEARCH METHODOLOGY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Data Mining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 Validation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 Primary Interviews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page">
              <wp:posOffset>-60959</wp:posOffset>
            </wp:positionH>
            <wp:positionV relativeFrom="page">
              <wp:posOffset>-716279</wp:posOffset>
            </wp:positionV>
            <wp:extent cx="10229057" cy="14466708"/>
            <wp:effectExtent l="0" t="0" r="0" b="0"/>
            <wp:wrapNone/>
            <wp:docPr id="37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List of Data Sources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GERMANY CARDIOVASCULAR DEVICES MARKET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 Market Dynamics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 Drivers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4.4 Restraints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4.5 Opportunities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4.6 Trends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4.7 Porters Five Force Model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page">
              <wp:posOffset>-99059</wp:posOffset>
            </wp:positionH>
            <wp:positionV relativeFrom="page">
              <wp:posOffset>-563879</wp:posOffset>
            </wp:positionV>
            <wp:extent cx="10222230" cy="14455140"/>
            <wp:effectExtent l="0" t="0" r="0" b="0"/>
            <wp:wrapNone/>
            <wp:docPr id="33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2230" cy="144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4.8 Value Chain Analysis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GERMANY CARDIOVASCULAR DEVICES MARKET, BY PRODUCT TYPE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Diagnostic and Monitoring Devices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 Therapeutic and Surgical Devices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GERMANY CARDIOVASCULAR DEVICES MARKET, BY APPLICATION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 Coronary Artery Disease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 Heart Failure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 Arrhythmia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6.4 Hypertension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6.5 Others</w:t>
      </w:r>
    </w:p>
    <w:p w:rsidR="001D05E0" w:rsidRDefault="00EA34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GERMANY CARDIOVASCULAR DEVICES MARKET, BY END-USER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 Hospitals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7.2 Cardiology Clinics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7.3 Ambulatory Surgical Centers </w:t>
      </w:r>
    </w:p>
    <w:p w:rsidR="001D05E0" w:rsidRDefault="00EA345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Homecare Settings</w:t>
      </w:r>
    </w:p>
    <w:p w:rsidR="001D05E0" w:rsidRDefault="001D05E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GERMANY CARDIOVASCULAR DEVICES MARKET COMPETITIVE LANDSCAPE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 Company Market Ranking </w:t>
      </w:r>
    </w:p>
    <w:p w:rsidR="001D05E0" w:rsidRDefault="00EA345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page">
              <wp:posOffset>-15239</wp:posOffset>
            </wp:positionH>
            <wp:positionV relativeFrom="page">
              <wp:posOffset>-259078</wp:posOffset>
            </wp:positionV>
            <wp:extent cx="10222230" cy="14455140"/>
            <wp:effectExtent l="0" t="0" r="0" b="0"/>
            <wp:wrapNone/>
            <wp:docPr id="30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2230" cy="144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Development Strategies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5408" behindDoc="1" locked="0" layoutInCell="1" hidden="0" allowOverlap="1">
            <wp:simplePos x="0" y="0"/>
            <wp:positionH relativeFrom="page">
              <wp:posOffset>243840</wp:posOffset>
            </wp:positionH>
            <wp:positionV relativeFrom="page">
              <wp:posOffset>-411479</wp:posOffset>
            </wp:positionV>
            <wp:extent cx="10229057" cy="14466708"/>
            <wp:effectExtent l="0" t="0" r="0" b="0"/>
            <wp:wrapNone/>
            <wp:docPr id="32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057" cy="14466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PROFILES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9.1 Medtronic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9.1.2 Financial Performance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9.1.3 Product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9.1.4 Key Developments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9.2 Abbott Laboratories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9.2.1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9.2.2 Financial Performance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9.2.3 Product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9.2.4 Key Developments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9.3 Boston Scientific Corporation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9.3.1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9.3.2 Financial Performance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9.3.3 Product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9.3.4 Key Developments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Biotronik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9.4.1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0" distR="0" simplePos="0" relativeHeight="251666432" behindDoc="1" locked="0" layoutInCell="1" hidden="0" allowOverlap="1">
            <wp:simplePos x="0" y="0"/>
            <wp:positionH relativeFrom="page">
              <wp:posOffset>-220978</wp:posOffset>
            </wp:positionH>
            <wp:positionV relativeFrom="page">
              <wp:posOffset>-53339</wp:posOffset>
            </wp:positionV>
            <wp:extent cx="10222230" cy="14455140"/>
            <wp:effectExtent l="0" t="0" r="0" b="0"/>
            <wp:wrapNone/>
            <wp:docPr id="29" name="image1.png" descr="A close-up of hands holding a tablet and a p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hands holding a tablet and a p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2230" cy="144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9.4.2 Financial Performance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9.4.3 Product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9.4.4 Key Developments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9.5 Edwards Lifesciences Corporation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9.5.1 Overview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9.5.2 Financial Performance </w:t>
      </w:r>
    </w:p>
    <w:p w:rsidR="001D05E0" w:rsidRDefault="00EA34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Outlook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9.5.4  Key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10. KEY DEVELOPMENTS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10.1 Product Launches/Developments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10.2 Mergers and Acquisitions </w:t>
      </w:r>
    </w:p>
    <w:p w:rsidR="001D05E0" w:rsidRDefault="00EA345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Expansions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10.4Partnerships and Collaborations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APPENDIX </w:t>
      </w:r>
    </w:p>
    <w:p w:rsidR="001D05E0" w:rsidRDefault="00EA345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11.1 Related Research</w:t>
      </w:r>
    </w:p>
    <w:p w:rsidR="001D05E0" w:rsidRDefault="001D05E0"/>
    <w:sectPr w:rsidR="001D05E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2A1F"/>
    <w:multiLevelType w:val="multilevel"/>
    <w:tmpl w:val="2FBED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E7F8E"/>
    <w:multiLevelType w:val="multilevel"/>
    <w:tmpl w:val="8392F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4F5F1D"/>
    <w:multiLevelType w:val="multilevel"/>
    <w:tmpl w:val="6D1672B2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3EC4159B"/>
    <w:multiLevelType w:val="multilevel"/>
    <w:tmpl w:val="2D5441E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42D81D02"/>
    <w:multiLevelType w:val="multilevel"/>
    <w:tmpl w:val="02AE4BEA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435F4777"/>
    <w:multiLevelType w:val="multilevel"/>
    <w:tmpl w:val="DC0C4398"/>
    <w:lvl w:ilvl="0">
      <w:start w:val="9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9B44239"/>
    <w:multiLevelType w:val="multilevel"/>
    <w:tmpl w:val="923E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054536"/>
    <w:multiLevelType w:val="multilevel"/>
    <w:tmpl w:val="F78A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DE3D74"/>
    <w:multiLevelType w:val="multilevel"/>
    <w:tmpl w:val="A8847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2F362E"/>
    <w:multiLevelType w:val="multilevel"/>
    <w:tmpl w:val="61C67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A823C5D"/>
    <w:multiLevelType w:val="multilevel"/>
    <w:tmpl w:val="F3F2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001A50"/>
    <w:multiLevelType w:val="multilevel"/>
    <w:tmpl w:val="483A5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7683489"/>
    <w:multiLevelType w:val="multilevel"/>
    <w:tmpl w:val="37007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E0"/>
    <w:rsid w:val="001D05E0"/>
    <w:rsid w:val="00E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F74"/>
  <w15:docId w15:val="{1855D4D8-FF2A-47BD-A7C9-BF207A1F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D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F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D0A"/>
    <w:rPr>
      <w:b/>
      <w:bCs/>
    </w:rPr>
  </w:style>
  <w:style w:type="paragraph" w:styleId="ListParagraph">
    <w:name w:val="List Paragraph"/>
    <w:basedOn w:val="Normal"/>
    <w:uiPriority w:val="34"/>
    <w:qFormat/>
    <w:rsid w:val="000F4D0A"/>
    <w:pPr>
      <w:ind w:left="720"/>
      <w:contextualSpacing/>
    </w:pPr>
  </w:style>
  <w:style w:type="character" w:customStyle="1" w:styleId="relative">
    <w:name w:val="relative"/>
    <w:basedOn w:val="DefaultParagraphFont"/>
    <w:rsid w:val="007A7CB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rBljBx3+H4kbBJqtuvLHeVDrA==">CgMxLjA4AHIhMWtZc0NtdVJGcU1jYnZCalpyMTliUUphQnpDM0RfUlhp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sharma</dc:creator>
  <cp:lastModifiedBy>Admin</cp:lastModifiedBy>
  <cp:revision>2</cp:revision>
  <dcterms:created xsi:type="dcterms:W3CDTF">2025-04-07T12:30:00Z</dcterms:created>
  <dcterms:modified xsi:type="dcterms:W3CDTF">2025-05-13T11:33:00Z</dcterms:modified>
</cp:coreProperties>
</file>