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8EB" w:rsidRDefault="00A31B2D">
      <w:pPr>
        <w:spacing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ICELAND MEDICAL DEVICES MARKET</w:t>
      </w:r>
      <w:r>
        <w:rPr>
          <w:rFonts w:ascii="Times New Roman" w:eastAsia="Times New Roman" w:hAnsi="Times New Roman" w:cs="Times New Roman"/>
          <w:b/>
          <w:noProof/>
          <w:sz w:val="24"/>
          <w:szCs w:val="24"/>
          <w:lang w:val="en-IN"/>
        </w:rPr>
        <w:drawing>
          <wp:anchor distT="0" distB="0" distL="0" distR="0" simplePos="0" relativeHeight="251658240" behindDoc="1" locked="0" layoutInCell="1" hidden="0" allowOverlap="1">
            <wp:simplePos x="0" y="0"/>
            <wp:positionH relativeFrom="page">
              <wp:posOffset>-36367</wp:posOffset>
            </wp:positionH>
            <wp:positionV relativeFrom="page">
              <wp:posOffset>-152399</wp:posOffset>
            </wp:positionV>
            <wp:extent cx="10233025" cy="14450060"/>
            <wp:effectExtent l="0" t="0" r="0" b="0"/>
            <wp:wrapNone/>
            <wp:docPr id="9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p>
    <w:p w:rsidR="00B628EB" w:rsidRDefault="00A31B2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Intelli</w:t>
      </w:r>
      <w:proofErr w:type="spellEnd"/>
      <w:r>
        <w:rPr>
          <w:rFonts w:ascii="Times New Roman" w:eastAsia="Times New Roman" w:hAnsi="Times New Roman" w:cs="Times New Roman"/>
          <w:sz w:val="24"/>
          <w:szCs w:val="24"/>
        </w:rPr>
        <w:t>, the Iceland medical devices market was valued at USD 95.71 million in 2024 and is projected to reach USD 170.68 million by 2032, growing at a CAGR of 8.4% during the forecast period.</w:t>
      </w:r>
    </w:p>
    <w:p w:rsidR="00A31B2D" w:rsidRDefault="00A31B2D">
      <w:pPr>
        <w:spacing w:before="280" w:after="280"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rPr>
        <w:drawing>
          <wp:inline distT="0" distB="0" distL="0" distR="0">
            <wp:extent cx="5943600" cy="297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elan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bookmarkEnd w:id="0"/>
    </w:p>
    <w:p w:rsidR="00B628EB" w:rsidRDefault="00A31B2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growth of the market is driven by Iceland's advanced healthcare infrastructure, rising prevalence of chronic diseases, an aging population, and increasing focus on healthcare digitization. The country has a high per capita healthcare expenditure and ra</w:t>
      </w:r>
      <w:r>
        <w:rPr>
          <w:rFonts w:ascii="Times New Roman" w:eastAsia="Times New Roman" w:hAnsi="Times New Roman" w:cs="Times New Roman"/>
          <w:sz w:val="24"/>
          <w:szCs w:val="24"/>
        </w:rPr>
        <w:t>nks among the top globally for access to quality healthcare services.</w:t>
      </w:r>
    </w:p>
    <w:p w:rsidR="00B628EB" w:rsidRDefault="00A31B2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Iceland medical devices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Market Definition</w:t>
      </w:r>
    </w:p>
    <w:p w:rsidR="00B628EB" w:rsidRDefault="00A31B2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Medical devices are instruments, apparatuses, machines, implants, in vitro reagents, or similar articles used for the diagnosis, prevention, mon</w:t>
      </w:r>
      <w:r>
        <w:rPr>
          <w:rFonts w:ascii="Times New Roman" w:eastAsia="Times New Roman" w:hAnsi="Times New Roman" w:cs="Times New Roman"/>
          <w:sz w:val="24"/>
          <w:szCs w:val="24"/>
        </w:rPr>
        <w:t xml:space="preserve">itoring, treatment, or alleviation of disease or injury. These devices range from simple tools such as syringes and thermometers to complex </w:t>
      </w:r>
      <w:proofErr w:type="gramStart"/>
      <w:r>
        <w:rPr>
          <w:rFonts w:ascii="Times New Roman" w:eastAsia="Times New Roman" w:hAnsi="Times New Roman" w:cs="Times New Roman"/>
          <w:sz w:val="24"/>
          <w:szCs w:val="24"/>
        </w:rPr>
        <w:t>technologies</w:t>
      </w:r>
      <w:proofErr w:type="gramEnd"/>
      <w:r>
        <w:rPr>
          <w:rFonts w:ascii="Times New Roman" w:eastAsia="Times New Roman" w:hAnsi="Times New Roman" w:cs="Times New Roman"/>
          <w:sz w:val="24"/>
          <w:szCs w:val="24"/>
        </w:rPr>
        <w:t xml:space="preserve"> like MRI machines, pacemakers, and robotic surgical systems.</w:t>
      </w:r>
    </w:p>
    <w:p w:rsidR="00B628EB" w:rsidRDefault="00A31B2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Iceland, the medical devices market enc</w:t>
      </w:r>
      <w:r>
        <w:rPr>
          <w:rFonts w:ascii="Times New Roman" w:eastAsia="Times New Roman" w:hAnsi="Times New Roman" w:cs="Times New Roman"/>
          <w:sz w:val="24"/>
          <w:szCs w:val="24"/>
        </w:rPr>
        <w:t xml:space="preserve">ompasses a wide range of products used across hospitals, diagnostic centers, outpatient facilities, home care settings, and specialty clinics. The </w:t>
      </w:r>
      <w:r>
        <w:rPr>
          <w:rFonts w:ascii="Times New Roman" w:eastAsia="Times New Roman" w:hAnsi="Times New Roman" w:cs="Times New Roman"/>
          <w:sz w:val="24"/>
          <w:szCs w:val="24"/>
        </w:rPr>
        <w:lastRenderedPageBreak/>
        <w:t>market includes consumables, diagnostic imaging equipment, therapeutic devices, patient monitoring systems, a</w:t>
      </w:r>
      <w:r>
        <w:rPr>
          <w:rFonts w:ascii="Times New Roman" w:eastAsia="Times New Roman" w:hAnsi="Times New Roman" w:cs="Times New Roman"/>
          <w:sz w:val="24"/>
          <w:szCs w:val="24"/>
        </w:rPr>
        <w:t>nd digital health technologies. These devices are regulated under Icelandic and EU medical device regulations ensuring safety, efficacy, and quality.</w:t>
      </w:r>
    </w:p>
    <w:p w:rsidR="00B628EB" w:rsidRDefault="00B628EB">
      <w:pPr>
        <w:spacing w:after="0" w:line="360" w:lineRule="auto"/>
        <w:jc w:val="both"/>
        <w:rPr>
          <w:rFonts w:ascii="Times New Roman" w:eastAsia="Times New Roman" w:hAnsi="Times New Roman" w:cs="Times New Roman"/>
          <w:sz w:val="24"/>
          <w:szCs w:val="24"/>
        </w:rPr>
      </w:pPr>
    </w:p>
    <w:p w:rsidR="00B628EB" w:rsidRDefault="00A31B2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Iceland medical devices Market Overview</w:t>
      </w:r>
    </w:p>
    <w:p w:rsidR="00B628EB" w:rsidRDefault="00A31B2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growing adoption of diagnostic imaging devices such as M</w:t>
      </w:r>
      <w:r>
        <w:rPr>
          <w:rFonts w:ascii="Times New Roman" w:eastAsia="Times New Roman" w:hAnsi="Times New Roman" w:cs="Times New Roman"/>
          <w:sz w:val="24"/>
          <w:szCs w:val="24"/>
        </w:rPr>
        <w:t>RI, CT, and ultrasound systems due to increasing demand for early disease detection. Similarly, the demand for surgical instruments, orthopedic implants, and cardiovascular devices is expanding with the rise in elective procedures and chronic conditions su</w:t>
      </w:r>
      <w:r>
        <w:rPr>
          <w:rFonts w:ascii="Times New Roman" w:eastAsia="Times New Roman" w:hAnsi="Times New Roman" w:cs="Times New Roman"/>
          <w:sz w:val="24"/>
          <w:szCs w:val="24"/>
        </w:rPr>
        <w:t>ch as osteoarthritis and heart disease.</w:t>
      </w:r>
    </w:p>
    <w:p w:rsidR="00B628EB" w:rsidRDefault="00A31B2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59264" behindDoc="1" locked="0" layoutInCell="1" hidden="0" allowOverlap="1">
            <wp:simplePos x="0" y="0"/>
            <wp:positionH relativeFrom="page">
              <wp:posOffset>-119379</wp:posOffset>
            </wp:positionH>
            <wp:positionV relativeFrom="page">
              <wp:posOffset>0</wp:posOffset>
            </wp:positionV>
            <wp:extent cx="10233025" cy="14450060"/>
            <wp:effectExtent l="0" t="0" r="0" b="0"/>
            <wp:wrapNone/>
            <wp:docPr id="9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sz w:val="24"/>
          <w:szCs w:val="24"/>
        </w:rPr>
        <w:t>Iceland's remote geography and dispersed population are prompting healthcare providers to adopt telemedicine and remote patient monitoring solutions. Digital health technologies, including wearable devices and conne</w:t>
      </w:r>
      <w:r>
        <w:rPr>
          <w:rFonts w:ascii="Times New Roman" w:eastAsia="Times New Roman" w:hAnsi="Times New Roman" w:cs="Times New Roman"/>
          <w:sz w:val="24"/>
          <w:szCs w:val="24"/>
        </w:rPr>
        <w:t>cted care platforms, are gaining traction especially in home care settings.</w:t>
      </w:r>
    </w:p>
    <w:p w:rsidR="00B628EB" w:rsidRDefault="00A31B2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and private healthcare institutions in Iceland procure medical devices through tenders and long-term supplier agreements. There is significant emphasis on ensuring complianc</w:t>
      </w:r>
      <w:r>
        <w:rPr>
          <w:rFonts w:ascii="Times New Roman" w:eastAsia="Times New Roman" w:hAnsi="Times New Roman" w:cs="Times New Roman"/>
          <w:sz w:val="24"/>
          <w:szCs w:val="24"/>
        </w:rPr>
        <w:t>e with European CE marking, post-market surveillance, and device traceability under the EU Medical Device Regulation (MDR).</w:t>
      </w:r>
    </w:p>
    <w:p w:rsidR="00B628EB" w:rsidRDefault="00A31B2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Collaborations with Scandinavian and EU countries are facilitating technology transfers, joint R&amp;D, and access to cutting-edge innov</w:t>
      </w:r>
      <w:r>
        <w:rPr>
          <w:rFonts w:ascii="Times New Roman" w:eastAsia="Times New Roman" w:hAnsi="Times New Roman" w:cs="Times New Roman"/>
          <w:sz w:val="24"/>
          <w:szCs w:val="24"/>
        </w:rPr>
        <w:t>ations. International medical device manufacturers often operate through regional distributors or direct supply agreements with Icelandic hospitals and procurement agencies.</w:t>
      </w:r>
    </w:p>
    <w:p w:rsidR="00B628EB" w:rsidRDefault="00B628EB">
      <w:pPr>
        <w:spacing w:after="0" w:line="360" w:lineRule="auto"/>
        <w:jc w:val="both"/>
        <w:rPr>
          <w:rFonts w:ascii="Times New Roman" w:eastAsia="Times New Roman" w:hAnsi="Times New Roman" w:cs="Times New Roman"/>
          <w:sz w:val="24"/>
          <w:szCs w:val="24"/>
        </w:rPr>
      </w:pPr>
    </w:p>
    <w:p w:rsidR="00B628EB" w:rsidRDefault="00A31B2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Iceland medical devices Market Segment Analysis</w:t>
      </w:r>
    </w:p>
    <w:p w:rsidR="00B628EB" w:rsidRDefault="00A31B2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Type</w:t>
      </w:r>
    </w:p>
    <w:p w:rsidR="00B628EB" w:rsidRDefault="00A31B2D">
      <w:pPr>
        <w:numPr>
          <w:ilvl w:val="0"/>
          <w:numId w:val="1"/>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Diagnostic Imaging Device</w:t>
      </w:r>
      <w:r>
        <w:rPr>
          <w:rFonts w:ascii="Times New Roman" w:eastAsia="Times New Roman" w:hAnsi="Times New Roman" w:cs="Times New Roman"/>
          <w:sz w:val="24"/>
          <w:szCs w:val="24"/>
        </w:rPr>
        <w:t>s</w:t>
      </w:r>
    </w:p>
    <w:p w:rsidR="00B628EB" w:rsidRDefault="00A31B2D">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Therapeutic Devices</w:t>
      </w:r>
    </w:p>
    <w:p w:rsidR="00B628EB" w:rsidRDefault="00A31B2D">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Surgical Devices</w:t>
      </w:r>
    </w:p>
    <w:p w:rsidR="00B628EB" w:rsidRDefault="00A31B2D">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Devices</w:t>
      </w:r>
    </w:p>
    <w:p w:rsidR="00B628EB" w:rsidRDefault="00A31B2D">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Consumables &amp; Disposables</w:t>
      </w:r>
    </w:p>
    <w:p w:rsidR="00B628EB" w:rsidRDefault="00A31B2D">
      <w:pPr>
        <w:numPr>
          <w:ilvl w:val="0"/>
          <w:numId w:val="1"/>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Health Solutions</w:t>
      </w:r>
    </w:p>
    <w:p w:rsidR="00B628EB" w:rsidRDefault="00A31B2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End Use</w:t>
      </w:r>
    </w:p>
    <w:p w:rsidR="00B628EB" w:rsidRDefault="00A31B2D">
      <w:pPr>
        <w:numPr>
          <w:ilvl w:val="0"/>
          <w:numId w:val="2"/>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Hospitals</w:t>
      </w:r>
    </w:p>
    <w:p w:rsidR="00B628EB" w:rsidRDefault="00A31B2D">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Ambulatory Surgical Centers</w:t>
      </w:r>
    </w:p>
    <w:p w:rsidR="00B628EB" w:rsidRDefault="00A31B2D">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Diagnostic Centers</w:t>
      </w:r>
    </w:p>
    <w:p w:rsidR="00B628EB" w:rsidRDefault="00A31B2D">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 Healthcare</w:t>
      </w:r>
    </w:p>
    <w:p w:rsidR="00B628EB" w:rsidRDefault="00A31B2D">
      <w:pPr>
        <w:numPr>
          <w:ilvl w:val="0"/>
          <w:numId w:val="2"/>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0288" behindDoc="1" locked="0" layoutInCell="1" hidden="0" allowOverlap="1">
            <wp:simplePos x="0" y="0"/>
            <wp:positionH relativeFrom="page">
              <wp:posOffset>-181609</wp:posOffset>
            </wp:positionH>
            <wp:positionV relativeFrom="page">
              <wp:posOffset>-34289</wp:posOffset>
            </wp:positionV>
            <wp:extent cx="10233025" cy="14450060"/>
            <wp:effectExtent l="0" t="0" r="0" b="0"/>
            <wp:wrapNone/>
            <wp:docPr id="9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sz w:val="24"/>
          <w:szCs w:val="24"/>
        </w:rPr>
        <w:t>Specialty Clinics</w:t>
      </w:r>
    </w:p>
    <w:p w:rsidR="00B628EB" w:rsidRDefault="00B628EB">
      <w:pPr>
        <w:spacing w:after="0" w:line="360" w:lineRule="auto"/>
        <w:jc w:val="both"/>
        <w:rPr>
          <w:rFonts w:ascii="Times New Roman" w:eastAsia="Times New Roman" w:hAnsi="Times New Roman" w:cs="Times New Roman"/>
          <w:sz w:val="24"/>
          <w:szCs w:val="24"/>
        </w:rPr>
      </w:pPr>
    </w:p>
    <w:p w:rsidR="00B628EB" w:rsidRDefault="00A31B2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Competitive Landscape</w:t>
      </w:r>
    </w:p>
    <w:p w:rsidR="00B628EB" w:rsidRDefault="00A31B2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Iceland medical devices market is moderately fragmented, with several multinational corporations and regional distributors operating across different segments. Companies focus on providing high-quality, EU-compliant devices with robust after-sales supp</w:t>
      </w:r>
      <w:r>
        <w:rPr>
          <w:rFonts w:ascii="Times New Roman" w:eastAsia="Times New Roman" w:hAnsi="Times New Roman" w:cs="Times New Roman"/>
          <w:sz w:val="24"/>
          <w:szCs w:val="24"/>
        </w:rPr>
        <w:t>ort, training, and integration services.</w:t>
      </w:r>
    </w:p>
    <w:p w:rsidR="00B628EB" w:rsidRDefault="00A31B2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transformation, customization of devices for smaller populations, and interoperability with Iceland’s electronic health record (EHR) systems are critical focus areas for competition. Partnerships with local </w:t>
      </w:r>
      <w:r>
        <w:rPr>
          <w:rFonts w:ascii="Times New Roman" w:eastAsia="Times New Roman" w:hAnsi="Times New Roman" w:cs="Times New Roman"/>
          <w:sz w:val="24"/>
          <w:szCs w:val="24"/>
        </w:rPr>
        <w:t>healthcare providers and government agencies offer a strategic edge in public sector procurement.</w:t>
      </w:r>
    </w:p>
    <w:p w:rsidR="00B628EB" w:rsidRDefault="00B628EB">
      <w:pPr>
        <w:spacing w:after="0" w:line="360" w:lineRule="auto"/>
        <w:jc w:val="both"/>
        <w:rPr>
          <w:rFonts w:ascii="Times New Roman" w:eastAsia="Times New Roman" w:hAnsi="Times New Roman" w:cs="Times New Roman"/>
          <w:sz w:val="24"/>
          <w:szCs w:val="24"/>
        </w:rPr>
      </w:pPr>
    </w:p>
    <w:p w:rsidR="00B628EB" w:rsidRDefault="00A31B2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Profiles of Iceland medical devices market</w:t>
      </w:r>
    </w:p>
    <w:p w:rsidR="00B628EB" w:rsidRDefault="00A31B2D">
      <w:pPr>
        <w:numPr>
          <w:ilvl w:val="0"/>
          <w:numId w:val="3"/>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Medtronic plc</w:t>
      </w:r>
    </w:p>
    <w:p w:rsidR="00B628EB" w:rsidRDefault="00A31B2D">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Siemens </w:t>
      </w:r>
      <w:proofErr w:type="spellStart"/>
      <w:r>
        <w:rPr>
          <w:rFonts w:ascii="Times New Roman" w:eastAsia="Times New Roman" w:hAnsi="Times New Roman" w:cs="Times New Roman"/>
          <w:sz w:val="24"/>
          <w:szCs w:val="24"/>
        </w:rPr>
        <w:t>Healthineers</w:t>
      </w:r>
      <w:proofErr w:type="spellEnd"/>
    </w:p>
    <w:p w:rsidR="00B628EB" w:rsidRDefault="00A31B2D">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 HealthCare</w:t>
      </w:r>
    </w:p>
    <w:p w:rsidR="00B628EB" w:rsidRDefault="00A31B2D">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Philips Healthcare</w:t>
      </w:r>
    </w:p>
    <w:p w:rsidR="00B628EB" w:rsidRDefault="00A31B2D">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Johnson &amp; Johnson</w:t>
      </w:r>
    </w:p>
    <w:p w:rsidR="00B628EB" w:rsidRDefault="00A31B2D">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Stryker Corporation</w:t>
      </w:r>
    </w:p>
    <w:p w:rsidR="00B628EB" w:rsidRDefault="00A31B2D">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Abbo</w:t>
      </w:r>
      <w:r>
        <w:rPr>
          <w:rFonts w:ascii="Times New Roman" w:eastAsia="Times New Roman" w:hAnsi="Times New Roman" w:cs="Times New Roman"/>
          <w:sz w:val="24"/>
          <w:szCs w:val="24"/>
        </w:rPr>
        <w:t>tt Laboratories</w:t>
      </w:r>
    </w:p>
    <w:p w:rsidR="00B628EB" w:rsidRDefault="00A31B2D">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Boston Scientific Corporation</w:t>
      </w:r>
    </w:p>
    <w:p w:rsidR="00B628EB" w:rsidRDefault="00A31B2D">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Becton, Dickinson and Company (BD)</w:t>
      </w:r>
    </w:p>
    <w:p w:rsidR="00B628EB" w:rsidRDefault="00A31B2D">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Smith &amp; Nephew plc</w:t>
      </w:r>
    </w:p>
    <w:p w:rsidR="00B628EB" w:rsidRDefault="00A31B2D">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Zimmer Biomet</w:t>
      </w:r>
    </w:p>
    <w:p w:rsidR="00B628EB" w:rsidRDefault="00A31B2D">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Canon Medical Systems</w:t>
      </w:r>
    </w:p>
    <w:p w:rsidR="00B628EB" w:rsidRDefault="00A31B2D">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3M Health Care</w:t>
      </w:r>
    </w:p>
    <w:p w:rsidR="00B628EB" w:rsidRDefault="00A31B2D">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1312" behindDoc="1" locked="0" layoutInCell="1" hidden="0" allowOverlap="1">
            <wp:simplePos x="0" y="0"/>
            <wp:positionH relativeFrom="page">
              <wp:posOffset>-84454</wp:posOffset>
            </wp:positionH>
            <wp:positionV relativeFrom="page">
              <wp:posOffset>0</wp:posOffset>
            </wp:positionV>
            <wp:extent cx="10233025" cy="14450060"/>
            <wp:effectExtent l="0" t="0" r="0" b="0"/>
            <wp:wrapNone/>
            <wp:docPr id="9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proofErr w:type="spellStart"/>
      <w:r>
        <w:rPr>
          <w:rFonts w:ascii="Times New Roman" w:eastAsia="Times New Roman" w:hAnsi="Times New Roman" w:cs="Times New Roman"/>
          <w:sz w:val="24"/>
          <w:szCs w:val="24"/>
        </w:rPr>
        <w:t>ResMed</w:t>
      </w:r>
      <w:proofErr w:type="spellEnd"/>
      <w:r>
        <w:rPr>
          <w:rFonts w:ascii="Times New Roman" w:eastAsia="Times New Roman" w:hAnsi="Times New Roman" w:cs="Times New Roman"/>
          <w:sz w:val="24"/>
          <w:szCs w:val="24"/>
        </w:rPr>
        <w:t xml:space="preserve"> Inc.</w:t>
      </w:r>
    </w:p>
    <w:p w:rsidR="00B628EB" w:rsidRDefault="00A31B2D">
      <w:pPr>
        <w:numPr>
          <w:ilvl w:val="0"/>
          <w:numId w:val="3"/>
        </w:numPr>
        <w:spacing w:after="28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Drägerwerk</w:t>
      </w:r>
      <w:proofErr w:type="spellEnd"/>
      <w:r>
        <w:rPr>
          <w:rFonts w:ascii="Times New Roman" w:eastAsia="Times New Roman" w:hAnsi="Times New Roman" w:cs="Times New Roman"/>
          <w:sz w:val="24"/>
          <w:szCs w:val="24"/>
        </w:rPr>
        <w:t xml:space="preserve"> AG &amp; Co. </w:t>
      </w:r>
      <w:proofErr w:type="spellStart"/>
      <w:r>
        <w:rPr>
          <w:rFonts w:ascii="Times New Roman" w:eastAsia="Times New Roman" w:hAnsi="Times New Roman" w:cs="Times New Roman"/>
          <w:sz w:val="24"/>
          <w:szCs w:val="24"/>
        </w:rPr>
        <w:t>KGaA</w:t>
      </w:r>
      <w:proofErr w:type="spellEnd"/>
    </w:p>
    <w:p w:rsidR="00B628EB" w:rsidRDefault="00B628EB">
      <w:pPr>
        <w:spacing w:after="0" w:line="360" w:lineRule="auto"/>
        <w:jc w:val="both"/>
        <w:rPr>
          <w:rFonts w:ascii="Times New Roman" w:eastAsia="Times New Roman" w:hAnsi="Times New Roman" w:cs="Times New Roman"/>
          <w:sz w:val="24"/>
          <w:szCs w:val="24"/>
        </w:rPr>
      </w:pPr>
    </w:p>
    <w:p w:rsidR="00B628EB" w:rsidRDefault="00A31B2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Developments</w:t>
      </w:r>
    </w:p>
    <w:p w:rsidR="00B628EB" w:rsidRDefault="00A31B2D">
      <w:pPr>
        <w:numPr>
          <w:ilvl w:val="0"/>
          <w:numId w:val="4"/>
        </w:numPr>
        <w:spacing w:before="28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4"/>
          <w:szCs w:val="24"/>
        </w:rPr>
        <w:t>In 2025</w:t>
      </w:r>
      <w:r>
        <w:rPr>
          <w:rFonts w:ascii="Times New Roman" w:eastAsia="Times New Roman" w:hAnsi="Times New Roman" w:cs="Times New Roman"/>
          <w:sz w:val="24"/>
          <w:szCs w:val="24"/>
        </w:rPr>
        <w:t xml:space="preserve">, HALO—a startup founded by six ambitious students—launched the </w:t>
      </w:r>
      <w:proofErr w:type="spellStart"/>
      <w:r>
        <w:rPr>
          <w:rFonts w:ascii="Times New Roman" w:eastAsia="Times New Roman" w:hAnsi="Times New Roman" w:cs="Times New Roman"/>
          <w:sz w:val="24"/>
          <w:szCs w:val="24"/>
        </w:rPr>
        <w:t>SpritBand</w:t>
      </w:r>
      <w:proofErr w:type="spellEnd"/>
      <w:r>
        <w:rPr>
          <w:rFonts w:ascii="Times New Roman" w:eastAsia="Times New Roman" w:hAnsi="Times New Roman" w:cs="Times New Roman"/>
          <w:sz w:val="24"/>
          <w:szCs w:val="24"/>
        </w:rPr>
        <w:t>, a hygiene-focused bracelet designed to reduce infection risk by promoting hand cleanliness. Durable and suitable for any environment, it supports flu and germ prevention through con</w:t>
      </w:r>
      <w:r>
        <w:rPr>
          <w:rFonts w:ascii="Times New Roman" w:eastAsia="Times New Roman" w:hAnsi="Times New Roman" w:cs="Times New Roman"/>
          <w:sz w:val="24"/>
          <w:szCs w:val="24"/>
        </w:rPr>
        <w:t>venient, on-the-go sanitation.</w:t>
      </w:r>
    </w:p>
    <w:p w:rsidR="00B628EB" w:rsidRDefault="00A31B2D">
      <w:pPr>
        <w:numPr>
          <w:ilvl w:val="0"/>
          <w:numId w:val="4"/>
        </w:numPr>
        <w:spacing w:after="280" w:line="360" w:lineRule="auto"/>
        <w:jc w:val="both"/>
        <w:rPr>
          <w:rFonts w:ascii="Times New Roman" w:eastAsia="Times New Roman" w:hAnsi="Times New Roman" w:cs="Times New Roman"/>
          <w:sz w:val="28"/>
          <w:szCs w:val="28"/>
        </w:rPr>
      </w:pPr>
      <w:r>
        <w:t>​</w:t>
      </w:r>
      <w:r>
        <w:rPr>
          <w:rFonts w:ascii="Times New Roman" w:eastAsia="Times New Roman" w:hAnsi="Times New Roman" w:cs="Times New Roman"/>
          <w:b/>
          <w:sz w:val="24"/>
          <w:szCs w:val="24"/>
        </w:rPr>
        <w:t>In June 2024</w:t>
      </w:r>
      <w:r>
        <w:rPr>
          <w:rFonts w:ascii="Times New Roman" w:eastAsia="Times New Roman" w:hAnsi="Times New Roman" w:cs="Times New Roman"/>
          <w:sz w:val="24"/>
          <w:szCs w:val="24"/>
        </w:rPr>
        <w:t>, Iceland Health and the Icelandic Dental Association signed a landmark five-year agreement to expand dental care funding for children, the elderly, and disabled individuals. This initiative enhances government c</w:t>
      </w:r>
      <w:r>
        <w:rPr>
          <w:rFonts w:ascii="Times New Roman" w:eastAsia="Times New Roman" w:hAnsi="Times New Roman" w:cs="Times New Roman"/>
          <w:sz w:val="24"/>
          <w:szCs w:val="24"/>
        </w:rPr>
        <w:t>overage for various dental treatments, including procedures previously not subsidized, thereby promoting equitable access to oral healthcare across the nation.</w:t>
      </w:r>
    </w:p>
    <w:p w:rsidR="00B628EB" w:rsidRDefault="00B628EB">
      <w:pPr>
        <w:spacing w:after="0" w:line="360" w:lineRule="auto"/>
        <w:jc w:val="both"/>
        <w:rPr>
          <w:rFonts w:ascii="Times New Roman" w:eastAsia="Times New Roman" w:hAnsi="Times New Roman" w:cs="Times New Roman"/>
          <w:sz w:val="24"/>
          <w:szCs w:val="24"/>
        </w:rPr>
      </w:pPr>
    </w:p>
    <w:p w:rsidR="00B628EB" w:rsidRDefault="00A31B2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Attractiveness</w:t>
      </w:r>
    </w:p>
    <w:p w:rsidR="00B628EB" w:rsidRDefault="00A31B2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Iceland's high healthcare standards, digital readiness, and alignment wit</w:t>
      </w:r>
      <w:r>
        <w:rPr>
          <w:rFonts w:ascii="Times New Roman" w:eastAsia="Times New Roman" w:hAnsi="Times New Roman" w:cs="Times New Roman"/>
          <w:sz w:val="24"/>
          <w:szCs w:val="24"/>
        </w:rPr>
        <w:t>h EU medical device regulations make it an attractive market for innovative medical technologies. The demand for precision diagnostics, personalized therapies, and remote care solutions presents growth opportunities for both global and regional players.</w:t>
      </w:r>
    </w:p>
    <w:p w:rsidR="00B628EB" w:rsidRDefault="00B628EB">
      <w:pPr>
        <w:spacing w:after="0" w:line="360" w:lineRule="auto"/>
        <w:jc w:val="both"/>
        <w:rPr>
          <w:rFonts w:ascii="Times New Roman" w:eastAsia="Times New Roman" w:hAnsi="Times New Roman" w:cs="Times New Roman"/>
          <w:sz w:val="24"/>
          <w:szCs w:val="24"/>
        </w:rPr>
      </w:pPr>
    </w:p>
    <w:p w:rsidR="00B628EB" w:rsidRDefault="00A31B2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Porter’s Five Forces Analysis</w:t>
      </w:r>
    </w:p>
    <w:p w:rsidR="00B628EB" w:rsidRDefault="00A31B2D">
      <w:pPr>
        <w:numPr>
          <w:ilvl w:val="0"/>
          <w:numId w:val="5"/>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Threat of New Entrants:</w:t>
      </w:r>
      <w:r>
        <w:rPr>
          <w:rFonts w:ascii="Times New Roman" w:eastAsia="Times New Roman" w:hAnsi="Times New Roman" w:cs="Times New Roman"/>
          <w:sz w:val="24"/>
          <w:szCs w:val="24"/>
        </w:rPr>
        <w:t xml:space="preserve"> Moderate – Entry barriers include regulatory compliance and small market size.</w:t>
      </w:r>
    </w:p>
    <w:p w:rsidR="00B628EB" w:rsidRDefault="00A31B2D">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Bargaining Power of Suppliers:</w:t>
      </w:r>
      <w:r>
        <w:rPr>
          <w:rFonts w:ascii="Times New Roman" w:eastAsia="Times New Roman" w:hAnsi="Times New Roman" w:cs="Times New Roman"/>
          <w:sz w:val="24"/>
          <w:szCs w:val="24"/>
        </w:rPr>
        <w:t xml:space="preserve"> Moderate – High-tech components limit supplier choice, but multiple global vendors exist.</w:t>
      </w:r>
    </w:p>
    <w:p w:rsidR="00B628EB" w:rsidRDefault="00A31B2D">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62336" behindDoc="1" locked="0" layoutInCell="1" hidden="0" allowOverlap="1">
            <wp:simplePos x="0" y="0"/>
            <wp:positionH relativeFrom="page">
              <wp:posOffset>-105409</wp:posOffset>
            </wp:positionH>
            <wp:positionV relativeFrom="page">
              <wp:posOffset>-96519</wp:posOffset>
            </wp:positionV>
            <wp:extent cx="10233025" cy="14450060"/>
            <wp:effectExtent l="0" t="0" r="0" b="0"/>
            <wp:wrapNone/>
            <wp:docPr id="9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Bargaining Power of Buyers:</w:t>
      </w:r>
      <w:r>
        <w:rPr>
          <w:rFonts w:ascii="Times New Roman" w:eastAsia="Times New Roman" w:hAnsi="Times New Roman" w:cs="Times New Roman"/>
          <w:sz w:val="24"/>
          <w:szCs w:val="24"/>
        </w:rPr>
        <w:t xml:space="preserve"> High – Healthcare institutions demand value-driven, reliable, and service-supported solutions.</w:t>
      </w:r>
    </w:p>
    <w:p w:rsidR="00B628EB" w:rsidRDefault="00A31B2D">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Threat of Substitutes:</w:t>
      </w:r>
      <w:r>
        <w:rPr>
          <w:rFonts w:ascii="Times New Roman" w:eastAsia="Times New Roman" w:hAnsi="Times New Roman" w:cs="Times New Roman"/>
          <w:sz w:val="24"/>
          <w:szCs w:val="24"/>
        </w:rPr>
        <w:t xml:space="preserve"> Low to </w:t>
      </w:r>
      <w:proofErr w:type="gramStart"/>
      <w:r>
        <w:rPr>
          <w:rFonts w:ascii="Times New Roman" w:eastAsia="Times New Roman" w:hAnsi="Times New Roman" w:cs="Times New Roman"/>
          <w:sz w:val="24"/>
          <w:szCs w:val="24"/>
        </w:rPr>
        <w:t>Moderate</w:t>
      </w:r>
      <w:proofErr w:type="gramEnd"/>
      <w:r>
        <w:rPr>
          <w:rFonts w:ascii="Times New Roman" w:eastAsia="Times New Roman" w:hAnsi="Times New Roman" w:cs="Times New Roman"/>
          <w:sz w:val="24"/>
          <w:szCs w:val="24"/>
        </w:rPr>
        <w:t xml:space="preserve"> – Technological advancements often enhance rather than replace device functions.</w:t>
      </w:r>
    </w:p>
    <w:p w:rsidR="00B628EB" w:rsidRDefault="00A31B2D">
      <w:pPr>
        <w:numPr>
          <w:ilvl w:val="0"/>
          <w:numId w:val="5"/>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Competitive R</w:t>
      </w:r>
      <w:r>
        <w:rPr>
          <w:rFonts w:ascii="Times New Roman" w:eastAsia="Times New Roman" w:hAnsi="Times New Roman" w:cs="Times New Roman"/>
          <w:b/>
          <w:sz w:val="24"/>
          <w:szCs w:val="24"/>
        </w:rPr>
        <w:t>ivalry:</w:t>
      </w:r>
      <w:r>
        <w:rPr>
          <w:rFonts w:ascii="Times New Roman" w:eastAsia="Times New Roman" w:hAnsi="Times New Roman" w:cs="Times New Roman"/>
          <w:sz w:val="24"/>
          <w:szCs w:val="24"/>
        </w:rPr>
        <w:t xml:space="preserve"> High – Intense competition among global firms with strong distribution partnerships.</w:t>
      </w:r>
    </w:p>
    <w:p w:rsidR="00B628EB" w:rsidRDefault="00B628EB">
      <w:pPr>
        <w:spacing w:after="0" w:line="360" w:lineRule="auto"/>
        <w:jc w:val="both"/>
        <w:rPr>
          <w:rFonts w:ascii="Times New Roman" w:eastAsia="Times New Roman" w:hAnsi="Times New Roman" w:cs="Times New Roman"/>
          <w:sz w:val="24"/>
          <w:szCs w:val="24"/>
        </w:rPr>
      </w:pPr>
    </w:p>
    <w:p w:rsidR="00B628EB" w:rsidRDefault="00B628EB">
      <w:pPr>
        <w:spacing w:before="280" w:after="280" w:line="360" w:lineRule="auto"/>
        <w:jc w:val="both"/>
        <w:rPr>
          <w:rFonts w:ascii="Times New Roman" w:eastAsia="Times New Roman" w:hAnsi="Times New Roman" w:cs="Times New Roman"/>
          <w:b/>
          <w:sz w:val="24"/>
          <w:szCs w:val="24"/>
        </w:rPr>
      </w:pPr>
    </w:p>
    <w:p w:rsidR="00B628EB" w:rsidRDefault="00B628EB">
      <w:pPr>
        <w:spacing w:before="280" w:after="280" w:line="360" w:lineRule="auto"/>
        <w:jc w:val="both"/>
        <w:rPr>
          <w:rFonts w:ascii="Times New Roman" w:eastAsia="Times New Roman" w:hAnsi="Times New Roman" w:cs="Times New Roman"/>
          <w:b/>
          <w:sz w:val="24"/>
          <w:szCs w:val="24"/>
        </w:rPr>
      </w:pPr>
    </w:p>
    <w:p w:rsidR="00B628EB" w:rsidRDefault="00B628EB">
      <w:pPr>
        <w:spacing w:before="280" w:after="280" w:line="360" w:lineRule="auto"/>
        <w:jc w:val="both"/>
        <w:rPr>
          <w:rFonts w:ascii="Times New Roman" w:eastAsia="Times New Roman" w:hAnsi="Times New Roman" w:cs="Times New Roman"/>
          <w:b/>
          <w:sz w:val="24"/>
          <w:szCs w:val="24"/>
        </w:rPr>
      </w:pPr>
    </w:p>
    <w:p w:rsidR="00B628EB" w:rsidRDefault="00B628EB">
      <w:pPr>
        <w:spacing w:before="280" w:after="280" w:line="360" w:lineRule="auto"/>
        <w:jc w:val="both"/>
        <w:rPr>
          <w:rFonts w:ascii="Times New Roman" w:eastAsia="Times New Roman" w:hAnsi="Times New Roman" w:cs="Times New Roman"/>
          <w:b/>
          <w:sz w:val="24"/>
          <w:szCs w:val="24"/>
        </w:rPr>
      </w:pPr>
    </w:p>
    <w:p w:rsidR="00B628EB" w:rsidRDefault="00B628EB">
      <w:pPr>
        <w:spacing w:before="280" w:after="280" w:line="360" w:lineRule="auto"/>
        <w:jc w:val="both"/>
        <w:rPr>
          <w:rFonts w:ascii="Times New Roman" w:eastAsia="Times New Roman" w:hAnsi="Times New Roman" w:cs="Times New Roman"/>
          <w:b/>
          <w:sz w:val="24"/>
          <w:szCs w:val="24"/>
        </w:rPr>
      </w:pPr>
    </w:p>
    <w:p w:rsidR="00B628EB" w:rsidRDefault="00B628EB">
      <w:pPr>
        <w:spacing w:before="280" w:after="280" w:line="360" w:lineRule="auto"/>
        <w:jc w:val="both"/>
        <w:rPr>
          <w:rFonts w:ascii="Times New Roman" w:eastAsia="Times New Roman" w:hAnsi="Times New Roman" w:cs="Times New Roman"/>
          <w:b/>
          <w:sz w:val="24"/>
          <w:szCs w:val="24"/>
        </w:rPr>
      </w:pPr>
    </w:p>
    <w:p w:rsidR="00B628EB" w:rsidRDefault="00B628EB">
      <w:pPr>
        <w:spacing w:before="280" w:after="280" w:line="360" w:lineRule="auto"/>
        <w:jc w:val="both"/>
        <w:rPr>
          <w:rFonts w:ascii="Times New Roman" w:eastAsia="Times New Roman" w:hAnsi="Times New Roman" w:cs="Times New Roman"/>
          <w:b/>
          <w:sz w:val="24"/>
          <w:szCs w:val="24"/>
        </w:rPr>
      </w:pPr>
    </w:p>
    <w:p w:rsidR="00B628EB" w:rsidRDefault="00B628EB">
      <w:pPr>
        <w:spacing w:before="280" w:after="280" w:line="360" w:lineRule="auto"/>
        <w:jc w:val="both"/>
        <w:rPr>
          <w:rFonts w:ascii="Times New Roman" w:eastAsia="Times New Roman" w:hAnsi="Times New Roman" w:cs="Times New Roman"/>
          <w:b/>
          <w:sz w:val="24"/>
          <w:szCs w:val="24"/>
        </w:rPr>
      </w:pPr>
    </w:p>
    <w:p w:rsidR="00B628EB" w:rsidRDefault="00B628EB">
      <w:pPr>
        <w:spacing w:before="280" w:after="280" w:line="360" w:lineRule="auto"/>
        <w:jc w:val="both"/>
        <w:rPr>
          <w:rFonts w:ascii="Times New Roman" w:eastAsia="Times New Roman" w:hAnsi="Times New Roman" w:cs="Times New Roman"/>
          <w:b/>
          <w:sz w:val="24"/>
          <w:szCs w:val="24"/>
        </w:rPr>
      </w:pPr>
    </w:p>
    <w:p w:rsidR="00B628EB" w:rsidRDefault="00B628EB">
      <w:pPr>
        <w:spacing w:before="280" w:after="280" w:line="360" w:lineRule="auto"/>
        <w:jc w:val="both"/>
        <w:rPr>
          <w:rFonts w:ascii="Times New Roman" w:eastAsia="Times New Roman" w:hAnsi="Times New Roman" w:cs="Times New Roman"/>
          <w:b/>
          <w:sz w:val="24"/>
          <w:szCs w:val="24"/>
        </w:rPr>
      </w:pPr>
    </w:p>
    <w:p w:rsidR="00B628EB" w:rsidRDefault="00B628EB">
      <w:pPr>
        <w:spacing w:before="280" w:after="280" w:line="360" w:lineRule="auto"/>
        <w:jc w:val="both"/>
        <w:rPr>
          <w:rFonts w:ascii="Times New Roman" w:eastAsia="Times New Roman" w:hAnsi="Times New Roman" w:cs="Times New Roman"/>
          <w:b/>
          <w:sz w:val="24"/>
          <w:szCs w:val="24"/>
        </w:rPr>
      </w:pPr>
    </w:p>
    <w:p w:rsidR="00B628EB" w:rsidRDefault="00B628EB">
      <w:pPr>
        <w:spacing w:before="280" w:after="280" w:line="360" w:lineRule="auto"/>
        <w:jc w:val="both"/>
        <w:rPr>
          <w:rFonts w:ascii="Times New Roman" w:eastAsia="Times New Roman" w:hAnsi="Times New Roman" w:cs="Times New Roman"/>
          <w:b/>
          <w:sz w:val="24"/>
          <w:szCs w:val="24"/>
        </w:rPr>
      </w:pPr>
    </w:p>
    <w:p w:rsidR="00B628EB" w:rsidRDefault="00B628EB">
      <w:pPr>
        <w:spacing w:before="280" w:after="280" w:line="360" w:lineRule="auto"/>
        <w:jc w:val="both"/>
        <w:rPr>
          <w:rFonts w:ascii="Times New Roman" w:eastAsia="Times New Roman" w:hAnsi="Times New Roman" w:cs="Times New Roman"/>
          <w:b/>
          <w:sz w:val="24"/>
          <w:szCs w:val="24"/>
        </w:rPr>
      </w:pPr>
    </w:p>
    <w:p w:rsidR="00B628EB" w:rsidRDefault="00B628EB">
      <w:pPr>
        <w:spacing w:before="280" w:after="280" w:line="360" w:lineRule="auto"/>
        <w:jc w:val="both"/>
        <w:rPr>
          <w:rFonts w:ascii="Times New Roman" w:eastAsia="Times New Roman" w:hAnsi="Times New Roman" w:cs="Times New Roman"/>
          <w:b/>
          <w:sz w:val="24"/>
          <w:szCs w:val="24"/>
        </w:rPr>
      </w:pPr>
    </w:p>
    <w:p w:rsidR="00B628EB" w:rsidRDefault="00A31B2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anchor distT="0" distB="0" distL="0" distR="0" simplePos="0" relativeHeight="251663360" behindDoc="1" locked="0" layoutInCell="1" hidden="0" allowOverlap="1">
            <wp:simplePos x="0" y="0"/>
            <wp:positionH relativeFrom="page">
              <wp:posOffset>-36194</wp:posOffset>
            </wp:positionH>
            <wp:positionV relativeFrom="page">
              <wp:posOffset>0</wp:posOffset>
            </wp:positionV>
            <wp:extent cx="10233025" cy="14450060"/>
            <wp:effectExtent l="0" t="0" r="0" b="0"/>
            <wp:wrapNone/>
            <wp:docPr id="9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Table of Contents</w:t>
      </w:r>
    </w:p>
    <w:p w:rsidR="00B628EB" w:rsidRDefault="00A31B2D">
      <w:pPr>
        <w:numPr>
          <w:ilvl w:val="0"/>
          <w:numId w:val="6"/>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 of Iceland Medical Devices Market</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Overview of the Market</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Scope of Report</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Assumptions</w:t>
      </w:r>
    </w:p>
    <w:p w:rsidR="00B628EB" w:rsidRDefault="00A31B2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Executive Summary</w:t>
      </w:r>
    </w:p>
    <w:p w:rsidR="00B628EB" w:rsidRDefault="00A31B2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Methodology</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Data Mining</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Validation</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Primary Interviews</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List of Data Sources</w:t>
      </w:r>
    </w:p>
    <w:p w:rsidR="00B628EB" w:rsidRDefault="00A31B2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Iceland Medical Devices Market Outlook</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Market Definition</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Market Overview</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4.3 Porter’s Five Forces Model</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 Value Chain Analysis</w:t>
      </w:r>
    </w:p>
    <w:p w:rsidR="00B628EB" w:rsidRDefault="00A31B2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 by Type</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Pr>
          <w:rFonts w:ascii="Times New Roman" w:eastAsia="Times New Roman" w:hAnsi="Times New Roman" w:cs="Times New Roman"/>
          <w:sz w:val="24"/>
          <w:szCs w:val="24"/>
        </w:rPr>
        <w:t xml:space="preserve"> Diagnostic Imaging Devices</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 Therapeutic Devices</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 Surgical Devices</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 Monitoring Devices</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5.5 Consumables &amp; Disposables</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 Digital Health Solutions</w:t>
      </w:r>
    </w:p>
    <w:p w:rsidR="00B628EB" w:rsidRDefault="00A31B2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 by End Use</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 Hospitals</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 Ambulatory Surgical Centers</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 Diagnostic Centers</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 Home Healthcare</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 Specialty Clinics</w:t>
      </w:r>
    </w:p>
    <w:p w:rsidR="00B628EB" w:rsidRDefault="00A31B2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Competitive Landscape</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4384" behindDoc="1" locked="0" layoutInCell="1" hidden="0" allowOverlap="1">
            <wp:simplePos x="0" y="0"/>
            <wp:positionH relativeFrom="page">
              <wp:posOffset>-98424</wp:posOffset>
            </wp:positionH>
            <wp:positionV relativeFrom="page">
              <wp:posOffset>0</wp:posOffset>
            </wp:positionV>
            <wp:extent cx="10233025" cy="14450060"/>
            <wp:effectExtent l="0" t="0" r="0" b="0"/>
            <wp:wrapNone/>
            <wp:docPr id="9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sz w:val="24"/>
          <w:szCs w:val="24"/>
        </w:rPr>
        <w:t>7.1 Overview</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 Company Market Ranking</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 Key Development Strategies</w:t>
      </w:r>
    </w:p>
    <w:p w:rsidR="00B628EB" w:rsidRDefault="00A31B2D">
      <w:pPr>
        <w:numPr>
          <w:ilvl w:val="0"/>
          <w:numId w:val="6"/>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Company Profiles</w:t>
      </w:r>
    </w:p>
    <w:p w:rsidR="00B628EB" w:rsidRDefault="00A31B2D">
      <w:pPr>
        <w:pBdr>
          <w:top w:val="nil"/>
          <w:left w:val="nil"/>
          <w:bottom w:val="nil"/>
          <w:right w:val="nil"/>
          <w:between w:val="nil"/>
        </w:pBdr>
        <w:spacing w:before="280"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8.1 Medtronic plc</w:t>
      </w:r>
      <w:r>
        <w:rPr>
          <w:rFonts w:ascii="Times New Roman" w:eastAsia="Times New Roman" w:hAnsi="Times New Roman" w:cs="Times New Roman"/>
          <w:color w:val="000000"/>
          <w:sz w:val="24"/>
          <w:szCs w:val="24"/>
        </w:rPr>
        <w:br/>
        <w:t>8.1.1 Overview</w:t>
      </w:r>
      <w:r>
        <w:rPr>
          <w:rFonts w:ascii="Times New Roman" w:eastAsia="Times New Roman" w:hAnsi="Times New Roman" w:cs="Times New Roman"/>
          <w:color w:val="000000"/>
          <w:sz w:val="24"/>
          <w:szCs w:val="24"/>
        </w:rPr>
        <w:br/>
        <w:t>8.1.2 Financial Performance</w:t>
      </w:r>
      <w:r>
        <w:rPr>
          <w:rFonts w:ascii="Times New Roman" w:eastAsia="Times New Roman" w:hAnsi="Times New Roman" w:cs="Times New Roman"/>
          <w:color w:val="000000"/>
          <w:sz w:val="24"/>
          <w:szCs w:val="24"/>
        </w:rPr>
        <w:br/>
        <w:t>8.1.3 Product Outlook</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8.1.4 Key Developments</w:t>
      </w:r>
    </w:p>
    <w:p w:rsidR="00B628EB" w:rsidRDefault="00A31B2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8.2 Siemens </w:t>
      </w:r>
      <w:proofErr w:type="spellStart"/>
      <w:r>
        <w:rPr>
          <w:rFonts w:ascii="Times New Roman" w:eastAsia="Times New Roman" w:hAnsi="Times New Roman" w:cs="Times New Roman"/>
          <w:b/>
          <w:color w:val="000000"/>
          <w:sz w:val="24"/>
          <w:szCs w:val="24"/>
        </w:rPr>
        <w:t>Healthineers</w:t>
      </w:r>
      <w:proofErr w:type="spellEnd"/>
      <w:r>
        <w:rPr>
          <w:rFonts w:ascii="Times New Roman" w:eastAsia="Times New Roman" w:hAnsi="Times New Roman" w:cs="Times New Roman"/>
          <w:color w:val="000000"/>
          <w:sz w:val="24"/>
          <w:szCs w:val="24"/>
        </w:rPr>
        <w:br/>
        <w:t>8.2.1 Overview</w:t>
      </w:r>
      <w:r>
        <w:rPr>
          <w:rFonts w:ascii="Times New Roman" w:eastAsia="Times New Roman" w:hAnsi="Times New Roman" w:cs="Times New Roman"/>
          <w:color w:val="000000"/>
          <w:sz w:val="24"/>
          <w:szCs w:val="24"/>
        </w:rPr>
        <w:br/>
        <w:t>8.2.2 Financial Performance</w:t>
      </w:r>
      <w:r>
        <w:rPr>
          <w:rFonts w:ascii="Times New Roman" w:eastAsia="Times New Roman" w:hAnsi="Times New Roman" w:cs="Times New Roman"/>
          <w:color w:val="000000"/>
          <w:sz w:val="24"/>
          <w:szCs w:val="24"/>
        </w:rPr>
        <w:br/>
        <w:t>8.2.3 Product Outlook</w:t>
      </w:r>
      <w:r>
        <w:rPr>
          <w:rFonts w:ascii="Times New Roman" w:eastAsia="Times New Roman" w:hAnsi="Times New Roman" w:cs="Times New Roman"/>
          <w:color w:val="000000"/>
          <w:sz w:val="24"/>
          <w:szCs w:val="24"/>
        </w:rPr>
        <w:br/>
        <w:t>8.2.4 Key Developments</w:t>
      </w:r>
    </w:p>
    <w:p w:rsidR="00B628EB" w:rsidRDefault="00A31B2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8.3 GE HealthCare</w:t>
      </w:r>
      <w:r>
        <w:rPr>
          <w:rFonts w:ascii="Times New Roman" w:eastAsia="Times New Roman" w:hAnsi="Times New Roman" w:cs="Times New Roman"/>
          <w:color w:val="000000"/>
          <w:sz w:val="24"/>
          <w:szCs w:val="24"/>
        </w:rPr>
        <w:br/>
        <w:t>8.3.1 Overview</w:t>
      </w:r>
      <w:r>
        <w:rPr>
          <w:rFonts w:ascii="Times New Roman" w:eastAsia="Times New Roman" w:hAnsi="Times New Roman" w:cs="Times New Roman"/>
          <w:color w:val="000000"/>
          <w:sz w:val="24"/>
          <w:szCs w:val="24"/>
        </w:rPr>
        <w:br/>
        <w:t>8.3.2 Financial Performance</w:t>
      </w:r>
      <w:r>
        <w:rPr>
          <w:rFonts w:ascii="Times New Roman" w:eastAsia="Times New Roman" w:hAnsi="Times New Roman" w:cs="Times New Roman"/>
          <w:color w:val="000000"/>
          <w:sz w:val="24"/>
          <w:szCs w:val="24"/>
        </w:rPr>
        <w:br/>
        <w:t>8.3.3 Product Outlook</w:t>
      </w:r>
      <w:r>
        <w:rPr>
          <w:rFonts w:ascii="Times New Roman" w:eastAsia="Times New Roman" w:hAnsi="Times New Roman" w:cs="Times New Roman"/>
          <w:color w:val="000000"/>
          <w:sz w:val="24"/>
          <w:szCs w:val="24"/>
        </w:rPr>
        <w:br/>
        <w:t>8.3.4 Key Developments</w:t>
      </w:r>
    </w:p>
    <w:p w:rsidR="00B628EB" w:rsidRDefault="00A31B2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8.4 Philips He</w:t>
      </w:r>
      <w:r>
        <w:rPr>
          <w:rFonts w:ascii="Times New Roman" w:eastAsia="Times New Roman" w:hAnsi="Times New Roman" w:cs="Times New Roman"/>
          <w:b/>
          <w:color w:val="000000"/>
          <w:sz w:val="24"/>
          <w:szCs w:val="24"/>
        </w:rPr>
        <w:t>althcare</w:t>
      </w:r>
      <w:r>
        <w:rPr>
          <w:rFonts w:ascii="Times New Roman" w:eastAsia="Times New Roman" w:hAnsi="Times New Roman" w:cs="Times New Roman"/>
          <w:color w:val="000000"/>
          <w:sz w:val="24"/>
          <w:szCs w:val="24"/>
        </w:rPr>
        <w:br/>
        <w:t>8.4.1 Overview</w:t>
      </w:r>
      <w:r>
        <w:rPr>
          <w:rFonts w:ascii="Times New Roman" w:eastAsia="Times New Roman" w:hAnsi="Times New Roman" w:cs="Times New Roman"/>
          <w:color w:val="000000"/>
          <w:sz w:val="24"/>
          <w:szCs w:val="24"/>
        </w:rPr>
        <w:br/>
        <w:t>8.4.2 Financial Performance</w:t>
      </w:r>
      <w:r>
        <w:rPr>
          <w:rFonts w:ascii="Times New Roman" w:eastAsia="Times New Roman" w:hAnsi="Times New Roman" w:cs="Times New Roman"/>
          <w:color w:val="000000"/>
          <w:sz w:val="24"/>
          <w:szCs w:val="24"/>
        </w:rPr>
        <w:br/>
        <w:t>8.4.3 Product Outlook</w:t>
      </w:r>
      <w:r>
        <w:rPr>
          <w:rFonts w:ascii="Times New Roman" w:eastAsia="Times New Roman" w:hAnsi="Times New Roman" w:cs="Times New Roman"/>
          <w:color w:val="000000"/>
          <w:sz w:val="24"/>
          <w:szCs w:val="24"/>
        </w:rPr>
        <w:br/>
        <w:t>8.4.4 Key Developments</w:t>
      </w:r>
    </w:p>
    <w:p w:rsidR="00B628EB" w:rsidRDefault="00A31B2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8.5 Johnson &amp; Johnson</w:t>
      </w:r>
      <w:r>
        <w:rPr>
          <w:rFonts w:ascii="Times New Roman" w:eastAsia="Times New Roman" w:hAnsi="Times New Roman" w:cs="Times New Roman"/>
          <w:color w:val="000000"/>
          <w:sz w:val="24"/>
          <w:szCs w:val="24"/>
        </w:rPr>
        <w:br/>
        <w:t>8.5.1 Overview</w:t>
      </w:r>
      <w:r>
        <w:rPr>
          <w:rFonts w:ascii="Times New Roman" w:eastAsia="Times New Roman" w:hAnsi="Times New Roman" w:cs="Times New Roman"/>
          <w:color w:val="000000"/>
          <w:sz w:val="24"/>
          <w:szCs w:val="24"/>
        </w:rPr>
        <w:br/>
        <w:t>8.5.2 Financial Performance</w:t>
      </w:r>
      <w:r>
        <w:rPr>
          <w:rFonts w:ascii="Times New Roman" w:eastAsia="Times New Roman" w:hAnsi="Times New Roman" w:cs="Times New Roman"/>
          <w:color w:val="000000"/>
          <w:sz w:val="24"/>
          <w:szCs w:val="24"/>
        </w:rPr>
        <w:br/>
        <w:t>8.5.3 Product Outlook</w:t>
      </w:r>
      <w:r>
        <w:rPr>
          <w:rFonts w:ascii="Times New Roman" w:eastAsia="Times New Roman" w:hAnsi="Times New Roman" w:cs="Times New Roman"/>
          <w:color w:val="000000"/>
          <w:sz w:val="24"/>
          <w:szCs w:val="24"/>
        </w:rPr>
        <w:br/>
        <w:t>8.5.4 Key Developments</w:t>
      </w:r>
    </w:p>
    <w:p w:rsidR="00B628EB" w:rsidRDefault="00A31B2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5408" behindDoc="1" locked="0" layoutInCell="1" hidden="0" allowOverlap="1">
            <wp:simplePos x="0" y="0"/>
            <wp:positionH relativeFrom="page">
              <wp:posOffset>-98424</wp:posOffset>
            </wp:positionH>
            <wp:positionV relativeFrom="page">
              <wp:posOffset>0</wp:posOffset>
            </wp:positionV>
            <wp:extent cx="10233025" cy="14450060"/>
            <wp:effectExtent l="0" t="0" r="0" b="0"/>
            <wp:wrapNone/>
            <wp:docPr id="9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color w:val="000000"/>
          <w:sz w:val="24"/>
          <w:szCs w:val="24"/>
        </w:rPr>
        <w:t>8.6 Stryker Corporation</w:t>
      </w:r>
      <w:r>
        <w:rPr>
          <w:rFonts w:ascii="Times New Roman" w:eastAsia="Times New Roman" w:hAnsi="Times New Roman" w:cs="Times New Roman"/>
          <w:color w:val="000000"/>
          <w:sz w:val="24"/>
          <w:szCs w:val="24"/>
        </w:rPr>
        <w:br/>
        <w:t>8.6.1 Overview</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8.6.2 Financial Performance</w:t>
      </w:r>
      <w:r>
        <w:rPr>
          <w:rFonts w:ascii="Times New Roman" w:eastAsia="Times New Roman" w:hAnsi="Times New Roman" w:cs="Times New Roman"/>
          <w:color w:val="000000"/>
          <w:sz w:val="24"/>
          <w:szCs w:val="24"/>
        </w:rPr>
        <w:br/>
        <w:t>8.6.3 Product Outlook</w:t>
      </w:r>
      <w:r>
        <w:rPr>
          <w:rFonts w:ascii="Times New Roman" w:eastAsia="Times New Roman" w:hAnsi="Times New Roman" w:cs="Times New Roman"/>
          <w:color w:val="000000"/>
          <w:sz w:val="24"/>
          <w:szCs w:val="24"/>
        </w:rPr>
        <w:br/>
        <w:t>8.6.4 Key Developments</w:t>
      </w:r>
    </w:p>
    <w:p w:rsidR="00B628EB" w:rsidRDefault="00A31B2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8.7 Abbott Laboratories</w:t>
      </w:r>
      <w:r>
        <w:rPr>
          <w:rFonts w:ascii="Times New Roman" w:eastAsia="Times New Roman" w:hAnsi="Times New Roman" w:cs="Times New Roman"/>
          <w:color w:val="000000"/>
          <w:sz w:val="24"/>
          <w:szCs w:val="24"/>
        </w:rPr>
        <w:br/>
        <w:t>8.7.1 Overview</w:t>
      </w:r>
      <w:r>
        <w:rPr>
          <w:rFonts w:ascii="Times New Roman" w:eastAsia="Times New Roman" w:hAnsi="Times New Roman" w:cs="Times New Roman"/>
          <w:color w:val="000000"/>
          <w:sz w:val="24"/>
          <w:szCs w:val="24"/>
        </w:rPr>
        <w:br/>
        <w:t>8.7.2 Financial Performance</w:t>
      </w:r>
      <w:r>
        <w:rPr>
          <w:rFonts w:ascii="Times New Roman" w:eastAsia="Times New Roman" w:hAnsi="Times New Roman" w:cs="Times New Roman"/>
          <w:color w:val="000000"/>
          <w:sz w:val="24"/>
          <w:szCs w:val="24"/>
        </w:rPr>
        <w:br/>
        <w:t>8.7.3 Product Outlook</w:t>
      </w:r>
      <w:r>
        <w:rPr>
          <w:rFonts w:ascii="Times New Roman" w:eastAsia="Times New Roman" w:hAnsi="Times New Roman" w:cs="Times New Roman"/>
          <w:color w:val="000000"/>
          <w:sz w:val="24"/>
          <w:szCs w:val="24"/>
        </w:rPr>
        <w:br/>
        <w:t>8.7.4 Key Developments</w:t>
      </w:r>
    </w:p>
    <w:p w:rsidR="00B628EB" w:rsidRDefault="00A31B2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8.8 Boston Scientific Corporation</w:t>
      </w:r>
      <w:r>
        <w:rPr>
          <w:rFonts w:ascii="Times New Roman" w:eastAsia="Times New Roman" w:hAnsi="Times New Roman" w:cs="Times New Roman"/>
          <w:color w:val="000000"/>
          <w:sz w:val="24"/>
          <w:szCs w:val="24"/>
        </w:rPr>
        <w:br/>
        <w:t>8.8.1 Overview</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8.8.2 Financial Performance</w:t>
      </w:r>
      <w:r>
        <w:rPr>
          <w:rFonts w:ascii="Times New Roman" w:eastAsia="Times New Roman" w:hAnsi="Times New Roman" w:cs="Times New Roman"/>
          <w:color w:val="000000"/>
          <w:sz w:val="24"/>
          <w:szCs w:val="24"/>
        </w:rPr>
        <w:br/>
        <w:t>8.8.3 Product Outlook</w:t>
      </w:r>
      <w:r>
        <w:rPr>
          <w:rFonts w:ascii="Times New Roman" w:eastAsia="Times New Roman" w:hAnsi="Times New Roman" w:cs="Times New Roman"/>
          <w:color w:val="000000"/>
          <w:sz w:val="24"/>
          <w:szCs w:val="24"/>
        </w:rPr>
        <w:br/>
        <w:t>8.8.4 Key Developments</w:t>
      </w:r>
    </w:p>
    <w:p w:rsidR="00B628EB" w:rsidRDefault="00A31B2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8.9 Becton, Dickinson and Company (BD</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br/>
        <w:t>8.9.1 Overview</w:t>
      </w:r>
      <w:r>
        <w:rPr>
          <w:rFonts w:ascii="Times New Roman" w:eastAsia="Times New Roman" w:hAnsi="Times New Roman" w:cs="Times New Roman"/>
          <w:color w:val="000000"/>
          <w:sz w:val="24"/>
          <w:szCs w:val="24"/>
        </w:rPr>
        <w:br/>
        <w:t>8.9.2 Financial Performance</w:t>
      </w:r>
      <w:r>
        <w:rPr>
          <w:rFonts w:ascii="Times New Roman" w:eastAsia="Times New Roman" w:hAnsi="Times New Roman" w:cs="Times New Roman"/>
          <w:color w:val="000000"/>
          <w:sz w:val="24"/>
          <w:szCs w:val="24"/>
        </w:rPr>
        <w:br/>
        <w:t>8.9.3 Product Outlook</w:t>
      </w:r>
      <w:r>
        <w:rPr>
          <w:rFonts w:ascii="Times New Roman" w:eastAsia="Times New Roman" w:hAnsi="Times New Roman" w:cs="Times New Roman"/>
          <w:color w:val="000000"/>
          <w:sz w:val="24"/>
          <w:szCs w:val="24"/>
        </w:rPr>
        <w:br/>
        <w:t>8.9.4 Key Developments</w:t>
      </w:r>
    </w:p>
    <w:p w:rsidR="00B628EB" w:rsidRDefault="00A31B2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8.10 Smith &amp; Nephew plc</w:t>
      </w:r>
      <w:r>
        <w:rPr>
          <w:rFonts w:ascii="Times New Roman" w:eastAsia="Times New Roman" w:hAnsi="Times New Roman" w:cs="Times New Roman"/>
          <w:color w:val="000000"/>
          <w:sz w:val="24"/>
          <w:szCs w:val="24"/>
        </w:rPr>
        <w:br/>
        <w:t>8.10.1 Overview</w:t>
      </w:r>
      <w:r>
        <w:rPr>
          <w:rFonts w:ascii="Times New Roman" w:eastAsia="Times New Roman" w:hAnsi="Times New Roman" w:cs="Times New Roman"/>
          <w:color w:val="000000"/>
          <w:sz w:val="24"/>
          <w:szCs w:val="24"/>
        </w:rPr>
        <w:br/>
        <w:t>8.10.2 Financial</w:t>
      </w:r>
      <w:r>
        <w:rPr>
          <w:rFonts w:ascii="Times New Roman" w:eastAsia="Times New Roman" w:hAnsi="Times New Roman" w:cs="Times New Roman"/>
          <w:color w:val="000000"/>
          <w:sz w:val="24"/>
          <w:szCs w:val="24"/>
        </w:rPr>
        <w:t xml:space="preserve"> Performance</w:t>
      </w:r>
      <w:r>
        <w:rPr>
          <w:rFonts w:ascii="Times New Roman" w:eastAsia="Times New Roman" w:hAnsi="Times New Roman" w:cs="Times New Roman"/>
          <w:color w:val="000000"/>
          <w:sz w:val="24"/>
          <w:szCs w:val="24"/>
        </w:rPr>
        <w:br/>
        <w:t>8.10.3 Product Outlook</w:t>
      </w:r>
      <w:r>
        <w:rPr>
          <w:rFonts w:ascii="Times New Roman" w:eastAsia="Times New Roman" w:hAnsi="Times New Roman" w:cs="Times New Roman"/>
          <w:color w:val="000000"/>
          <w:sz w:val="24"/>
          <w:szCs w:val="24"/>
        </w:rPr>
        <w:br/>
        <w:t>8.10.4 Key Developments</w:t>
      </w:r>
    </w:p>
    <w:p w:rsidR="00B628EB" w:rsidRDefault="00A31B2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8.11 Zimmer Biomet</w:t>
      </w:r>
      <w:r>
        <w:rPr>
          <w:rFonts w:ascii="Times New Roman" w:eastAsia="Times New Roman" w:hAnsi="Times New Roman" w:cs="Times New Roman"/>
          <w:color w:val="000000"/>
          <w:sz w:val="24"/>
          <w:szCs w:val="24"/>
        </w:rPr>
        <w:br/>
        <w:t>8.11.1 Overview</w:t>
      </w:r>
      <w:r>
        <w:rPr>
          <w:rFonts w:ascii="Times New Roman" w:eastAsia="Times New Roman" w:hAnsi="Times New Roman" w:cs="Times New Roman"/>
          <w:color w:val="000000"/>
          <w:sz w:val="24"/>
          <w:szCs w:val="24"/>
        </w:rPr>
        <w:br/>
        <w:t>8.11.2 Financial Performance</w:t>
      </w:r>
      <w:r>
        <w:rPr>
          <w:rFonts w:ascii="Times New Roman" w:eastAsia="Times New Roman" w:hAnsi="Times New Roman" w:cs="Times New Roman"/>
          <w:color w:val="000000"/>
          <w:sz w:val="24"/>
          <w:szCs w:val="24"/>
        </w:rPr>
        <w:br/>
        <w:t>8.11.3 Product Outlook</w:t>
      </w:r>
      <w:r>
        <w:rPr>
          <w:rFonts w:ascii="Times New Roman" w:eastAsia="Times New Roman" w:hAnsi="Times New Roman" w:cs="Times New Roman"/>
          <w:color w:val="000000"/>
          <w:sz w:val="24"/>
          <w:szCs w:val="24"/>
        </w:rPr>
        <w:br/>
        <w:t>8.11.4 Key Developments</w:t>
      </w:r>
    </w:p>
    <w:p w:rsidR="00B628EB" w:rsidRDefault="00A31B2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6432" behindDoc="1" locked="0" layoutInCell="1" hidden="0" allowOverlap="1">
            <wp:simplePos x="0" y="0"/>
            <wp:positionH relativeFrom="page">
              <wp:posOffset>-77469</wp:posOffset>
            </wp:positionH>
            <wp:positionV relativeFrom="page">
              <wp:posOffset>0</wp:posOffset>
            </wp:positionV>
            <wp:extent cx="10233025" cy="14450060"/>
            <wp:effectExtent l="0" t="0" r="0" b="0"/>
            <wp:wrapNone/>
            <wp:docPr id="9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color w:val="000000"/>
          <w:sz w:val="24"/>
          <w:szCs w:val="24"/>
        </w:rPr>
        <w:t>8.12 Canon Medical Systems</w:t>
      </w:r>
      <w:r>
        <w:rPr>
          <w:rFonts w:ascii="Times New Roman" w:eastAsia="Times New Roman" w:hAnsi="Times New Roman" w:cs="Times New Roman"/>
          <w:color w:val="000000"/>
          <w:sz w:val="24"/>
          <w:szCs w:val="24"/>
        </w:rPr>
        <w:br/>
        <w:t>8.12.1 Overview</w:t>
      </w:r>
      <w:r>
        <w:rPr>
          <w:rFonts w:ascii="Times New Roman" w:eastAsia="Times New Roman" w:hAnsi="Times New Roman" w:cs="Times New Roman"/>
          <w:color w:val="000000"/>
          <w:sz w:val="24"/>
          <w:szCs w:val="24"/>
        </w:rPr>
        <w:br/>
        <w:t>8.12.2 Financial Performance</w:t>
      </w:r>
      <w:r>
        <w:rPr>
          <w:rFonts w:ascii="Times New Roman" w:eastAsia="Times New Roman" w:hAnsi="Times New Roman" w:cs="Times New Roman"/>
          <w:color w:val="000000"/>
          <w:sz w:val="24"/>
          <w:szCs w:val="24"/>
        </w:rPr>
        <w:br/>
        <w:t>8.12.3 Produ</w:t>
      </w:r>
      <w:r>
        <w:rPr>
          <w:rFonts w:ascii="Times New Roman" w:eastAsia="Times New Roman" w:hAnsi="Times New Roman" w:cs="Times New Roman"/>
          <w:color w:val="000000"/>
          <w:sz w:val="24"/>
          <w:szCs w:val="24"/>
        </w:rPr>
        <w:t>ct Outlook</w:t>
      </w:r>
      <w:r>
        <w:rPr>
          <w:rFonts w:ascii="Times New Roman" w:eastAsia="Times New Roman" w:hAnsi="Times New Roman" w:cs="Times New Roman"/>
          <w:color w:val="000000"/>
          <w:sz w:val="24"/>
          <w:szCs w:val="24"/>
        </w:rPr>
        <w:br/>
        <w:t>8.12.4 Key Developments</w:t>
      </w:r>
    </w:p>
    <w:p w:rsidR="00B628EB" w:rsidRDefault="00A31B2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8.13 3M Health Care</w:t>
      </w:r>
      <w:r>
        <w:rPr>
          <w:rFonts w:ascii="Times New Roman" w:eastAsia="Times New Roman" w:hAnsi="Times New Roman" w:cs="Times New Roman"/>
          <w:color w:val="000000"/>
          <w:sz w:val="24"/>
          <w:szCs w:val="24"/>
        </w:rPr>
        <w:br/>
        <w:t>8.13.1 Overview</w:t>
      </w:r>
      <w:r>
        <w:rPr>
          <w:rFonts w:ascii="Times New Roman" w:eastAsia="Times New Roman" w:hAnsi="Times New Roman" w:cs="Times New Roman"/>
          <w:color w:val="000000"/>
          <w:sz w:val="24"/>
          <w:szCs w:val="24"/>
        </w:rPr>
        <w:br/>
        <w:t>8.13.2 Financial Performance</w:t>
      </w:r>
      <w:r>
        <w:rPr>
          <w:rFonts w:ascii="Times New Roman" w:eastAsia="Times New Roman" w:hAnsi="Times New Roman" w:cs="Times New Roman"/>
          <w:color w:val="000000"/>
          <w:sz w:val="24"/>
          <w:szCs w:val="24"/>
        </w:rPr>
        <w:br/>
        <w:t>8.13.3 Product Outlook</w:t>
      </w:r>
      <w:r>
        <w:rPr>
          <w:rFonts w:ascii="Times New Roman" w:eastAsia="Times New Roman" w:hAnsi="Times New Roman" w:cs="Times New Roman"/>
          <w:color w:val="000000"/>
          <w:sz w:val="24"/>
          <w:szCs w:val="24"/>
        </w:rPr>
        <w:br/>
        <w:t>8.13.4 Key Developments</w:t>
      </w:r>
    </w:p>
    <w:p w:rsidR="00B628EB" w:rsidRDefault="00A31B2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8.14 </w:t>
      </w:r>
      <w:proofErr w:type="spellStart"/>
      <w:r>
        <w:rPr>
          <w:rFonts w:ascii="Times New Roman" w:eastAsia="Times New Roman" w:hAnsi="Times New Roman" w:cs="Times New Roman"/>
          <w:b/>
          <w:color w:val="000000"/>
          <w:sz w:val="24"/>
          <w:szCs w:val="24"/>
        </w:rPr>
        <w:t>ResMed</w:t>
      </w:r>
      <w:proofErr w:type="spellEnd"/>
      <w:r>
        <w:rPr>
          <w:rFonts w:ascii="Times New Roman" w:eastAsia="Times New Roman" w:hAnsi="Times New Roman" w:cs="Times New Roman"/>
          <w:b/>
          <w:color w:val="000000"/>
          <w:sz w:val="24"/>
          <w:szCs w:val="24"/>
        </w:rPr>
        <w:t xml:space="preserve"> Inc</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br/>
        <w:t>8.14.1 Overview</w:t>
      </w:r>
      <w:r>
        <w:rPr>
          <w:rFonts w:ascii="Times New Roman" w:eastAsia="Times New Roman" w:hAnsi="Times New Roman" w:cs="Times New Roman"/>
          <w:color w:val="000000"/>
          <w:sz w:val="24"/>
          <w:szCs w:val="24"/>
        </w:rPr>
        <w:br/>
        <w:t>8.14.2 Financial Performance</w:t>
      </w:r>
      <w:r>
        <w:rPr>
          <w:rFonts w:ascii="Times New Roman" w:eastAsia="Times New Roman" w:hAnsi="Times New Roman" w:cs="Times New Roman"/>
          <w:color w:val="000000"/>
          <w:sz w:val="24"/>
          <w:szCs w:val="24"/>
        </w:rPr>
        <w:br/>
        <w:t>8.14.3 Product Outlook</w:t>
      </w:r>
      <w:r>
        <w:rPr>
          <w:rFonts w:ascii="Times New Roman" w:eastAsia="Times New Roman" w:hAnsi="Times New Roman" w:cs="Times New Roman"/>
          <w:color w:val="000000"/>
          <w:sz w:val="24"/>
          <w:szCs w:val="24"/>
        </w:rPr>
        <w:br/>
        <w:t>8.14.4 Key Developments</w:t>
      </w:r>
    </w:p>
    <w:p w:rsidR="00B628EB" w:rsidRDefault="00A31B2D">
      <w:pPr>
        <w:pBdr>
          <w:top w:val="nil"/>
          <w:left w:val="nil"/>
          <w:bottom w:val="nil"/>
          <w:right w:val="nil"/>
          <w:between w:val="nil"/>
        </w:pBdr>
        <w:spacing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8.15 </w:t>
      </w:r>
      <w:proofErr w:type="spellStart"/>
      <w:r>
        <w:rPr>
          <w:rFonts w:ascii="Times New Roman" w:eastAsia="Times New Roman" w:hAnsi="Times New Roman" w:cs="Times New Roman"/>
          <w:b/>
          <w:color w:val="000000"/>
          <w:sz w:val="24"/>
          <w:szCs w:val="24"/>
        </w:rPr>
        <w:t>Drägerwerk</w:t>
      </w:r>
      <w:proofErr w:type="spellEnd"/>
      <w:r>
        <w:rPr>
          <w:rFonts w:ascii="Times New Roman" w:eastAsia="Times New Roman" w:hAnsi="Times New Roman" w:cs="Times New Roman"/>
          <w:b/>
          <w:color w:val="000000"/>
          <w:sz w:val="24"/>
          <w:szCs w:val="24"/>
        </w:rPr>
        <w:t xml:space="preserve"> AG &amp; Co. </w:t>
      </w:r>
      <w:proofErr w:type="spellStart"/>
      <w:r>
        <w:rPr>
          <w:rFonts w:ascii="Times New Roman" w:eastAsia="Times New Roman" w:hAnsi="Times New Roman" w:cs="Times New Roman"/>
          <w:b/>
          <w:color w:val="000000"/>
          <w:sz w:val="24"/>
          <w:szCs w:val="24"/>
        </w:rPr>
        <w:t>KGaA</w:t>
      </w:r>
      <w:proofErr w:type="spellEnd"/>
      <w:r>
        <w:rPr>
          <w:rFonts w:ascii="Times New Roman" w:eastAsia="Times New Roman" w:hAnsi="Times New Roman" w:cs="Times New Roman"/>
          <w:color w:val="000000"/>
          <w:sz w:val="24"/>
          <w:szCs w:val="24"/>
        </w:rPr>
        <w:br/>
        <w:t>8.15.1 Overview</w:t>
      </w:r>
      <w:r>
        <w:rPr>
          <w:rFonts w:ascii="Times New Roman" w:eastAsia="Times New Roman" w:hAnsi="Times New Roman" w:cs="Times New Roman"/>
          <w:color w:val="000000"/>
          <w:sz w:val="24"/>
          <w:szCs w:val="24"/>
        </w:rPr>
        <w:br/>
        <w:t>8.15.2 Financial Performance</w:t>
      </w:r>
      <w:r>
        <w:rPr>
          <w:rFonts w:ascii="Times New Roman" w:eastAsia="Times New Roman" w:hAnsi="Times New Roman" w:cs="Times New Roman"/>
          <w:color w:val="000000"/>
          <w:sz w:val="24"/>
          <w:szCs w:val="24"/>
        </w:rPr>
        <w:br/>
        <w:t>8.15.3 Product Outlook</w:t>
      </w:r>
      <w:r>
        <w:rPr>
          <w:rFonts w:ascii="Times New Roman" w:eastAsia="Times New Roman" w:hAnsi="Times New Roman" w:cs="Times New Roman"/>
          <w:color w:val="000000"/>
          <w:sz w:val="24"/>
          <w:szCs w:val="24"/>
        </w:rPr>
        <w:br/>
        <w:t>8.15.4 Key Developments</w:t>
      </w:r>
    </w:p>
    <w:p w:rsidR="00B628EB" w:rsidRDefault="00B628EB">
      <w:pPr>
        <w:spacing w:before="280" w:after="280" w:line="360" w:lineRule="auto"/>
        <w:ind w:left="720"/>
        <w:jc w:val="both"/>
        <w:rPr>
          <w:rFonts w:ascii="Times New Roman" w:eastAsia="Times New Roman" w:hAnsi="Times New Roman" w:cs="Times New Roman"/>
          <w:sz w:val="24"/>
          <w:szCs w:val="24"/>
        </w:rPr>
      </w:pPr>
    </w:p>
    <w:p w:rsidR="00B628EB" w:rsidRDefault="00A31B2D">
      <w:pPr>
        <w:numPr>
          <w:ilvl w:val="0"/>
          <w:numId w:val="6"/>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 Developments</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 Product Launches/Developments</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 Mergers and Acquisitions</w:t>
      </w:r>
    </w:p>
    <w:p w:rsidR="00B628EB" w:rsidRDefault="00A31B2D">
      <w:pPr>
        <w:numPr>
          <w:ilvl w:val="1"/>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9.3 Business Expansions</w:t>
      </w:r>
    </w:p>
    <w:p w:rsidR="00B628EB" w:rsidRDefault="00A31B2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w:t>
      </w:r>
    </w:p>
    <w:p w:rsidR="00B628EB" w:rsidRDefault="00A31B2D">
      <w:pPr>
        <w:numPr>
          <w:ilvl w:val="1"/>
          <w:numId w:val="6"/>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Related Research</w:t>
      </w:r>
    </w:p>
    <w:p w:rsidR="00B628EB" w:rsidRDefault="00B628EB">
      <w:pPr>
        <w:spacing w:line="360" w:lineRule="auto"/>
        <w:jc w:val="both"/>
        <w:rPr>
          <w:rFonts w:ascii="Times New Roman" w:eastAsia="Times New Roman" w:hAnsi="Times New Roman" w:cs="Times New Roman"/>
          <w:sz w:val="24"/>
          <w:szCs w:val="24"/>
        </w:rPr>
      </w:pPr>
    </w:p>
    <w:sectPr w:rsidR="00B628E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4AD3"/>
    <w:multiLevelType w:val="multilevel"/>
    <w:tmpl w:val="807469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2003434"/>
    <w:multiLevelType w:val="multilevel"/>
    <w:tmpl w:val="F092C5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A25359D"/>
    <w:multiLevelType w:val="multilevel"/>
    <w:tmpl w:val="F83EF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A3E4140"/>
    <w:multiLevelType w:val="multilevel"/>
    <w:tmpl w:val="0DA866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E6D49FD"/>
    <w:multiLevelType w:val="multilevel"/>
    <w:tmpl w:val="667AB2B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75F00C1"/>
    <w:multiLevelType w:val="multilevel"/>
    <w:tmpl w:val="3EE8D2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EB"/>
    <w:rsid w:val="00A31B2D"/>
    <w:rsid w:val="00B62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6221"/>
  <w15:docId w15:val="{07DFFD1B-AE6D-46E6-B866-07026162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8777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77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77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8777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77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77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77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79D"/>
    <w:rPr>
      <w:b/>
      <w:bCs/>
    </w:rPr>
  </w:style>
  <w:style w:type="character" w:customStyle="1" w:styleId="relative">
    <w:name w:val="relative"/>
    <w:basedOn w:val="DefaultParagraphFont"/>
    <w:rsid w:val="00D81C16"/>
  </w:style>
  <w:style w:type="paragraph" w:styleId="ListParagraph">
    <w:name w:val="List Paragraph"/>
    <w:basedOn w:val="Normal"/>
    <w:uiPriority w:val="34"/>
    <w:qFormat/>
    <w:rsid w:val="00FD0504"/>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0JI51EYPBAMxgO38U5FVZn//BQ==">CgMxLjA4AHIhMXNmenV4bDExYVpYXzRPNnY0WWF6MzloWHA2TFhlM05G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1239</Words>
  <Characters>7065</Characters>
  <Application>Microsoft Office Word</Application>
  <DocSecurity>0</DocSecurity>
  <Lines>58</Lines>
  <Paragraphs>16</Paragraphs>
  <ScaleCrop>false</ScaleCrop>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2025-04-30T13:16:00Z</dcterms:created>
  <dcterms:modified xsi:type="dcterms:W3CDTF">2025-05-18T12:28:00Z</dcterms:modified>
</cp:coreProperties>
</file>