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39B" w:rsidRDefault="00EC5B9D">
      <w:pPr>
        <w:spacing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58240" behindDoc="1" locked="0" layoutInCell="1" hidden="0" allowOverlap="1">
            <wp:simplePos x="0" y="0"/>
            <wp:positionH relativeFrom="page">
              <wp:posOffset>-36194</wp:posOffset>
            </wp:positionH>
            <wp:positionV relativeFrom="page">
              <wp:posOffset>-152399</wp:posOffset>
            </wp:positionV>
            <wp:extent cx="10233025" cy="14450060"/>
            <wp:effectExtent l="0" t="0" r="0" b="0"/>
            <wp:wrapNone/>
            <wp:docPr id="8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LITHUANIA ENDOSCOPY DEVICES MARKET</w:t>
      </w:r>
    </w:p>
    <w:p w:rsidR="0005239B" w:rsidRDefault="00EC5B9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Pr>
          <w:rFonts w:ascii="Times New Roman" w:eastAsia="Times New Roman" w:hAnsi="Times New Roman" w:cs="Times New Roman"/>
          <w:sz w:val="24"/>
          <w:szCs w:val="24"/>
        </w:rPr>
        <w:t>, the Lithuania endoscopy devices market was valued at USD 74.8 million in 2024 and is projected to reach USD 109.3 million by 2032, growing at a CAGR of 4.8% from 2025 to 2032.</w:t>
      </w:r>
    </w:p>
    <w:p w:rsidR="00EC5B9D" w:rsidRDefault="00EC5B9D">
      <w:pPr>
        <w:spacing w:before="280" w:after="280"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rPr>
        <w:drawing>
          <wp:inline distT="0" distB="0" distL="0" distR="0">
            <wp:extent cx="5943600" cy="2947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thuani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bookmarkEnd w:id="0"/>
    </w:p>
    <w:p w:rsidR="0005239B" w:rsidRDefault="00EC5B9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 is driven by increasing prevalence of gastrointestinal disorders, the growing geriatric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and rising demand for minimally invasive surgeries. Endoscopic procedures are gaining traction across Lithuanian healthcare institutions due to s</w:t>
      </w:r>
      <w:r>
        <w:rPr>
          <w:rFonts w:ascii="Times New Roman" w:eastAsia="Times New Roman" w:hAnsi="Times New Roman" w:cs="Times New Roman"/>
          <w:sz w:val="24"/>
          <w:szCs w:val="24"/>
        </w:rPr>
        <w:t>horter recovery times, reduced post-operative complications, and cost-</w:t>
      </w:r>
      <w:proofErr w:type="spellStart"/>
      <w:r>
        <w:rPr>
          <w:rFonts w:ascii="Times New Roman" w:eastAsia="Times New Roman" w:hAnsi="Times New Roman" w:cs="Times New Roman"/>
          <w:sz w:val="24"/>
          <w:szCs w:val="24"/>
        </w:rPr>
        <w:t>effectiveness.The</w:t>
      </w:r>
      <w:proofErr w:type="spellEnd"/>
      <w:r>
        <w:rPr>
          <w:rFonts w:ascii="Times New Roman" w:eastAsia="Times New Roman" w:hAnsi="Times New Roman" w:cs="Times New Roman"/>
          <w:sz w:val="24"/>
          <w:szCs w:val="24"/>
        </w:rPr>
        <w:t xml:space="preserve"> Lithuanian government's support for healthcare digitization and the adoption of modern surgical equipment in hospitals is further accelerating the growth of the endosco</w:t>
      </w:r>
      <w:r>
        <w:rPr>
          <w:rFonts w:ascii="Times New Roman" w:eastAsia="Times New Roman" w:hAnsi="Times New Roman" w:cs="Times New Roman"/>
          <w:sz w:val="24"/>
          <w:szCs w:val="24"/>
        </w:rPr>
        <w:t>py devices market. Increasing awareness about colorectal cancer screening and preventive diagnostics also plays a crucial role in expanding endoscopic applications.</w:t>
      </w:r>
    </w:p>
    <w:p w:rsidR="0005239B" w:rsidRDefault="00EC5B9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Lithuania endoscopy devices market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Market</w:t>
      </w:r>
      <w:proofErr w:type="spellEnd"/>
      <w:r>
        <w:rPr>
          <w:rFonts w:ascii="Times New Roman" w:eastAsia="Times New Roman" w:hAnsi="Times New Roman" w:cs="Times New Roman"/>
          <w:b/>
          <w:sz w:val="24"/>
          <w:szCs w:val="24"/>
        </w:rPr>
        <w:t xml:space="preserve"> Definition</w:t>
      </w:r>
    </w:p>
    <w:p w:rsidR="0005239B" w:rsidRDefault="00EC5B9D">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Endoscopy devices are instruments used</w:t>
      </w:r>
      <w:r>
        <w:rPr>
          <w:rFonts w:ascii="Times New Roman" w:eastAsia="Times New Roman" w:hAnsi="Times New Roman" w:cs="Times New Roman"/>
          <w:color w:val="000000"/>
          <w:sz w:val="24"/>
          <w:szCs w:val="24"/>
        </w:rPr>
        <w:t xml:space="preserve"> to examine the interior of hollow organs or cavities within the body using minimally invasive procedures. These include endoscopes, visualization systems, </w:t>
      </w:r>
      <w:proofErr w:type="gramStart"/>
      <w:r>
        <w:rPr>
          <w:rFonts w:ascii="Times New Roman" w:eastAsia="Times New Roman" w:hAnsi="Times New Roman" w:cs="Times New Roman"/>
          <w:color w:val="000000"/>
          <w:sz w:val="24"/>
          <w:szCs w:val="24"/>
        </w:rPr>
        <w:t>insufflators</w:t>
      </w:r>
      <w:proofErr w:type="gramEnd"/>
      <w:r>
        <w:rPr>
          <w:rFonts w:ascii="Times New Roman" w:eastAsia="Times New Roman" w:hAnsi="Times New Roman" w:cs="Times New Roman"/>
          <w:color w:val="000000"/>
          <w:sz w:val="24"/>
          <w:szCs w:val="24"/>
        </w:rPr>
        <w:t>, operative devices, and related accessories.</w:t>
      </w:r>
    </w:p>
    <w:p w:rsidR="0005239B" w:rsidRDefault="00EC5B9D">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 Lithuania, endoscopy devices are increa</w:t>
      </w:r>
      <w:r>
        <w:rPr>
          <w:rFonts w:ascii="Times New Roman" w:eastAsia="Times New Roman" w:hAnsi="Times New Roman" w:cs="Times New Roman"/>
          <w:color w:val="000000"/>
          <w:sz w:val="24"/>
          <w:szCs w:val="24"/>
        </w:rPr>
        <w:t>singly deployed across hospitals, diagnostic centers, and ambulatory surgical centers for applications in gastroenterology, urology, gynecology, pulmonology, and more. This widespread adoption is supported by a rising burden of chronic and age-related cond</w:t>
      </w:r>
      <w:r>
        <w:rPr>
          <w:rFonts w:ascii="Times New Roman" w:eastAsia="Times New Roman" w:hAnsi="Times New Roman" w:cs="Times New Roman"/>
          <w:color w:val="000000"/>
          <w:sz w:val="24"/>
          <w:szCs w:val="24"/>
        </w:rPr>
        <w:t>itions that necessitate frequent internal examinations. With healthcare systems focusing on early detection and cost-efficient treatment modalities, the use of endoscopic technologies is expanding beyond traditional diagnostic purposes to include therapeut</w:t>
      </w:r>
      <w:r>
        <w:rPr>
          <w:rFonts w:ascii="Times New Roman" w:eastAsia="Times New Roman" w:hAnsi="Times New Roman" w:cs="Times New Roman"/>
          <w:color w:val="000000"/>
          <w:sz w:val="24"/>
          <w:szCs w:val="24"/>
        </w:rPr>
        <w:t>ic and interventional procedures.</w:t>
      </w:r>
    </w:p>
    <w:p w:rsidR="0005239B" w:rsidRDefault="00EC5B9D">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Additionally, government health initiatives aimed at increasing access to quality care and modern surgical methods are helping to standardize the use of endoscopy devices across urban and regional facilities. As Lithuania </w:t>
      </w:r>
      <w:r>
        <w:rPr>
          <w:rFonts w:ascii="Times New Roman" w:eastAsia="Times New Roman" w:hAnsi="Times New Roman" w:cs="Times New Roman"/>
          <w:color w:val="000000"/>
          <w:sz w:val="24"/>
          <w:szCs w:val="24"/>
        </w:rPr>
        <w:t>modernizes its health sector, the role of minimally invasive solutions like endoscopy is expected to deepen, ensuring timely diagnosis and improved patient outcomes across various clinical departments.</w:t>
      </w:r>
    </w:p>
    <w:p w:rsidR="0005239B" w:rsidRDefault="00EC5B9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59264" behindDoc="1" locked="0" layoutInCell="1" hidden="0" allowOverlap="1">
            <wp:simplePos x="0" y="0"/>
            <wp:positionH relativeFrom="page">
              <wp:posOffset>-70484</wp:posOffset>
            </wp:positionH>
            <wp:positionV relativeFrom="page">
              <wp:posOffset>-69214</wp:posOffset>
            </wp:positionV>
            <wp:extent cx="10233025" cy="14450060"/>
            <wp:effectExtent l="0" t="0" r="0" b="0"/>
            <wp:wrapNone/>
            <wp:docPr id="9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Lithuania endoscopy devices market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Market</w:t>
      </w:r>
      <w:proofErr w:type="spellEnd"/>
      <w:r>
        <w:rPr>
          <w:rFonts w:ascii="Times New Roman" w:eastAsia="Times New Roman" w:hAnsi="Times New Roman" w:cs="Times New Roman"/>
          <w:b/>
          <w:sz w:val="24"/>
          <w:szCs w:val="24"/>
        </w:rPr>
        <w:t xml:space="preserve"> Overview</w:t>
      </w:r>
    </w:p>
    <w:p w:rsidR="0005239B" w:rsidRDefault="00EC5B9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market is also witnessing rapid innovation in imaging technologies, disposable scopes, and AI-assisted endoscopic platforms, which are increasingly being integrated into clinical practice. Tele-endoscopy and remote training modules are gaining traction i</w:t>
      </w:r>
      <w:r>
        <w:rPr>
          <w:rFonts w:ascii="Times New Roman" w:eastAsia="Times New Roman" w:hAnsi="Times New Roman" w:cs="Times New Roman"/>
          <w:sz w:val="24"/>
          <w:szCs w:val="24"/>
        </w:rPr>
        <w:t>n rural healthcare facilities, helping address physician shortages and improve procedural access.</w:t>
      </w:r>
    </w:p>
    <w:p w:rsidR="0005239B" w:rsidRDefault="00EC5B9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government-backed screening programs, particularly for colorectal cancer, have significantly increased the volume of diagnostic endoscopic procedure</w:t>
      </w:r>
      <w:r>
        <w:rPr>
          <w:rFonts w:ascii="Times New Roman" w:eastAsia="Times New Roman" w:hAnsi="Times New Roman" w:cs="Times New Roman"/>
          <w:sz w:val="24"/>
          <w:szCs w:val="24"/>
        </w:rPr>
        <w:t>s, further stimulating demand for flexible endoscopes, video processors, and related accessories. These factors collectively position Lithuania as a steadily growing and attractive market for both global and regional endoscopy device manufacturers.</w:t>
      </w:r>
    </w:p>
    <w:p w:rsidR="0005239B" w:rsidRDefault="00EC5B9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Market </w:t>
      </w:r>
      <w:r>
        <w:rPr>
          <w:rFonts w:ascii="Times New Roman" w:eastAsia="Times New Roman" w:hAnsi="Times New Roman" w:cs="Times New Roman"/>
          <w:b/>
          <w:sz w:val="24"/>
          <w:szCs w:val="24"/>
        </w:rPr>
        <w:t>Segment Analysis</w:t>
      </w:r>
    </w:p>
    <w:p w:rsidR="0005239B" w:rsidRDefault="00EC5B9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Product Type</w:t>
      </w:r>
    </w:p>
    <w:p w:rsidR="0005239B" w:rsidRDefault="00EC5B9D">
      <w:pPr>
        <w:numPr>
          <w:ilvl w:val="0"/>
          <w:numId w:val="3"/>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Endoscopes (Flexible, Rigid, Capsule)</w:t>
      </w:r>
    </w:p>
    <w:p w:rsidR="0005239B" w:rsidRDefault="00EC5B9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Visualization Systems (Cameras, Displays, Light Sources, Recorders)</w:t>
      </w:r>
    </w:p>
    <w:p w:rsidR="0005239B" w:rsidRDefault="00EC5B9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Operative Devices (Biopsy Forceps, Graspers, Snares, Scissors)</w:t>
      </w:r>
    </w:p>
    <w:p w:rsidR="0005239B" w:rsidRDefault="00EC5B9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Insufflators</w:t>
      </w:r>
    </w:p>
    <w:p w:rsidR="0005239B" w:rsidRDefault="00EC5B9D">
      <w:pPr>
        <w:numPr>
          <w:ilvl w:val="0"/>
          <w:numId w:val="3"/>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Accessories (Trocars, Cleaning Brushes, Tubing Sets)</w:t>
      </w:r>
    </w:p>
    <w:p w:rsidR="0005239B" w:rsidRDefault="00EC5B9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Application</w:t>
      </w:r>
    </w:p>
    <w:p w:rsidR="0005239B" w:rsidRDefault="00EC5B9D">
      <w:pPr>
        <w:numPr>
          <w:ilvl w:val="0"/>
          <w:numId w:val="4"/>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Gastrointestinal Endoscopy</w:t>
      </w:r>
    </w:p>
    <w:p w:rsidR="0005239B" w:rsidRDefault="00EC5B9D">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Laparoscopy</w:t>
      </w:r>
    </w:p>
    <w:p w:rsidR="0005239B" w:rsidRDefault="00EC5B9D">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Bronchoscopy</w:t>
      </w:r>
    </w:p>
    <w:p w:rsidR="0005239B" w:rsidRDefault="00EC5B9D">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Urology Endoscopy</w:t>
      </w:r>
    </w:p>
    <w:p w:rsidR="0005239B" w:rsidRDefault="00EC5B9D">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Gynecology Endoscopy</w:t>
      </w:r>
    </w:p>
    <w:p w:rsidR="0005239B" w:rsidRDefault="00EC5B9D">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Arthroscopy</w:t>
      </w:r>
    </w:p>
    <w:p w:rsidR="0005239B" w:rsidRDefault="00EC5B9D">
      <w:pPr>
        <w:numPr>
          <w:ilvl w:val="0"/>
          <w:numId w:val="4"/>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0288" behindDoc="1" locked="0" layoutInCell="1" hidden="0" allowOverlap="1">
            <wp:simplePos x="0" y="0"/>
            <wp:positionH relativeFrom="page">
              <wp:posOffset>-36194</wp:posOffset>
            </wp:positionH>
            <wp:positionV relativeFrom="page">
              <wp:posOffset>-172719</wp:posOffset>
            </wp:positionV>
            <wp:extent cx="10233025" cy="14450060"/>
            <wp:effectExtent l="0" t="0" r="0" b="0"/>
            <wp:wrapNone/>
            <wp:docPr id="9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Others (ENT, Neurology)</w:t>
      </w:r>
    </w:p>
    <w:p w:rsidR="0005239B" w:rsidRDefault="00EC5B9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End User</w:t>
      </w:r>
    </w:p>
    <w:p w:rsidR="0005239B" w:rsidRDefault="00EC5B9D">
      <w:pPr>
        <w:numPr>
          <w:ilvl w:val="0"/>
          <w:numId w:val="5"/>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Hospitals and Clinics</w:t>
      </w:r>
    </w:p>
    <w:p w:rsidR="0005239B" w:rsidRDefault="00EC5B9D">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Ambulatory Surgical Centers (ASCs)</w:t>
      </w:r>
    </w:p>
    <w:p w:rsidR="0005239B" w:rsidRDefault="00EC5B9D">
      <w:pPr>
        <w:numPr>
          <w:ilvl w:val="0"/>
          <w:numId w:val="5"/>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Diagnostic Centers</w:t>
      </w:r>
    </w:p>
    <w:p w:rsidR="0005239B" w:rsidRDefault="0005239B">
      <w:pPr>
        <w:spacing w:after="0" w:line="360" w:lineRule="auto"/>
        <w:jc w:val="both"/>
        <w:rPr>
          <w:rFonts w:ascii="Times New Roman" w:eastAsia="Times New Roman" w:hAnsi="Times New Roman" w:cs="Times New Roman"/>
          <w:sz w:val="24"/>
          <w:szCs w:val="24"/>
        </w:rPr>
      </w:pPr>
    </w:p>
    <w:p w:rsidR="0005239B" w:rsidRDefault="00EC5B9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Landscape</w:t>
      </w:r>
    </w:p>
    <w:p w:rsidR="0005239B" w:rsidRDefault="00EC5B9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Lithuania endoscopy devices market is moderately fragmented, with a mix of international manufacturers and regional distributors. Key players are focusing on partnerships with</w:t>
      </w:r>
      <w:r>
        <w:rPr>
          <w:rFonts w:ascii="Times New Roman" w:eastAsia="Times New Roman" w:hAnsi="Times New Roman" w:cs="Times New Roman"/>
          <w:sz w:val="24"/>
          <w:szCs w:val="24"/>
        </w:rPr>
        <w:t xml:space="preserve"> local healthcare providers, training programs, and equipment leasing models to penetrate the market.</w:t>
      </w:r>
    </w:p>
    <w:p w:rsidR="0005239B" w:rsidRDefault="00EC5B9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competition is shaped by technological innovation, pricing strategies, and after-sales service. Sustainability and eco-friendly product offerings are emerging as differentiators.</w:t>
      </w:r>
    </w:p>
    <w:p w:rsidR="0005239B" w:rsidRDefault="0005239B">
      <w:pPr>
        <w:spacing w:after="0" w:line="360" w:lineRule="auto"/>
        <w:jc w:val="both"/>
        <w:rPr>
          <w:rFonts w:ascii="Times New Roman" w:eastAsia="Times New Roman" w:hAnsi="Times New Roman" w:cs="Times New Roman"/>
          <w:sz w:val="24"/>
          <w:szCs w:val="24"/>
        </w:rPr>
      </w:pPr>
    </w:p>
    <w:p w:rsidR="0005239B" w:rsidRDefault="00EC5B9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Company Profiles</w:t>
      </w:r>
    </w:p>
    <w:p w:rsidR="0005239B" w:rsidRDefault="00EC5B9D">
      <w:pPr>
        <w:numPr>
          <w:ilvl w:val="0"/>
          <w:numId w:val="6"/>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Olympus Corporation</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Karl </w:t>
      </w:r>
      <w:proofErr w:type="spellStart"/>
      <w:r>
        <w:rPr>
          <w:rFonts w:ascii="Times New Roman" w:eastAsia="Times New Roman" w:hAnsi="Times New Roman" w:cs="Times New Roman"/>
          <w:sz w:val="24"/>
          <w:szCs w:val="24"/>
        </w:rPr>
        <w:t>Storz</w:t>
      </w:r>
      <w:proofErr w:type="spellEnd"/>
      <w:r>
        <w:rPr>
          <w:rFonts w:ascii="Times New Roman" w:eastAsia="Times New Roman" w:hAnsi="Times New Roman" w:cs="Times New Roman"/>
          <w:sz w:val="24"/>
          <w:szCs w:val="24"/>
        </w:rPr>
        <w:t xml:space="preserve"> SE &amp; Co. KG</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Stryker Corp</w:t>
      </w:r>
      <w:r>
        <w:rPr>
          <w:rFonts w:ascii="Times New Roman" w:eastAsia="Times New Roman" w:hAnsi="Times New Roman" w:cs="Times New Roman"/>
          <w:sz w:val="24"/>
          <w:szCs w:val="24"/>
        </w:rPr>
        <w:t>oration</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Boston Scientific Corporation</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Medtronic plc</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FUJIFILM Holdings Corporation</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Richard Wolf GmbH</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Hoya Corporation (Pentax Medical)</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Smith &amp; Nephew plc</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Cook Medical</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CONMED Corporation</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1312" behindDoc="1" locked="0" layoutInCell="1" hidden="0" allowOverlap="1">
            <wp:simplePos x="0" y="0"/>
            <wp:positionH relativeFrom="page">
              <wp:posOffset>-91439</wp:posOffset>
            </wp:positionH>
            <wp:positionV relativeFrom="page">
              <wp:posOffset>-207644</wp:posOffset>
            </wp:positionV>
            <wp:extent cx="10233025" cy="14450060"/>
            <wp:effectExtent l="0" t="0" r="0" b="0"/>
            <wp:wrapNone/>
            <wp:docPr id="9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sz w:val="24"/>
          <w:szCs w:val="24"/>
        </w:rPr>
        <w:t xml:space="preserve">B. Braun </w:t>
      </w:r>
      <w:proofErr w:type="spellStart"/>
      <w:r>
        <w:rPr>
          <w:rFonts w:ascii="Times New Roman" w:eastAsia="Times New Roman" w:hAnsi="Times New Roman" w:cs="Times New Roman"/>
          <w:sz w:val="24"/>
          <w:szCs w:val="24"/>
        </w:rPr>
        <w:t>Melsungen</w:t>
      </w:r>
      <w:proofErr w:type="spellEnd"/>
      <w:r>
        <w:rPr>
          <w:rFonts w:ascii="Times New Roman" w:eastAsia="Times New Roman" w:hAnsi="Times New Roman" w:cs="Times New Roman"/>
          <w:sz w:val="24"/>
          <w:szCs w:val="24"/>
        </w:rPr>
        <w:t xml:space="preserve"> AG</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Ambu</w:t>
      </w:r>
      <w:proofErr w:type="spellEnd"/>
      <w:r>
        <w:rPr>
          <w:rFonts w:ascii="Times New Roman" w:eastAsia="Times New Roman" w:hAnsi="Times New Roman" w:cs="Times New Roman"/>
          <w:sz w:val="24"/>
          <w:szCs w:val="24"/>
        </w:rPr>
        <w:t xml:space="preserve"> A/S</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Arthrex</w:t>
      </w:r>
      <w:proofErr w:type="spellEnd"/>
      <w:r>
        <w:rPr>
          <w:rFonts w:ascii="Times New Roman" w:eastAsia="Times New Roman" w:hAnsi="Times New Roman" w:cs="Times New Roman"/>
          <w:sz w:val="24"/>
          <w:szCs w:val="24"/>
        </w:rPr>
        <w:t>, Inc.</w:t>
      </w:r>
    </w:p>
    <w:p w:rsidR="0005239B" w:rsidRDefault="00EC5B9D">
      <w:pPr>
        <w:numPr>
          <w:ilvl w:val="0"/>
          <w:numId w:val="6"/>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Xion</w:t>
      </w:r>
      <w:proofErr w:type="spellEnd"/>
      <w:r>
        <w:rPr>
          <w:rFonts w:ascii="Times New Roman" w:eastAsia="Times New Roman" w:hAnsi="Times New Roman" w:cs="Times New Roman"/>
          <w:sz w:val="24"/>
          <w:szCs w:val="24"/>
        </w:rPr>
        <w:t xml:space="preserve"> Medical</w:t>
      </w:r>
    </w:p>
    <w:p w:rsidR="0005239B" w:rsidRDefault="00EC5B9D">
      <w:pPr>
        <w:numPr>
          <w:ilvl w:val="0"/>
          <w:numId w:val="6"/>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Henke-Sass, Wolf GmbH</w:t>
      </w:r>
    </w:p>
    <w:p w:rsidR="0005239B" w:rsidRDefault="0005239B">
      <w:pPr>
        <w:spacing w:after="0" w:line="360" w:lineRule="auto"/>
        <w:jc w:val="both"/>
        <w:rPr>
          <w:rFonts w:ascii="Times New Roman" w:eastAsia="Times New Roman" w:hAnsi="Times New Roman" w:cs="Times New Roman"/>
          <w:sz w:val="24"/>
          <w:szCs w:val="24"/>
        </w:rPr>
      </w:pPr>
    </w:p>
    <w:p w:rsidR="0005239B" w:rsidRDefault="00EC5B9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Developments</w:t>
      </w:r>
    </w:p>
    <w:p w:rsidR="0005239B" w:rsidRDefault="00EC5B9D">
      <w:pPr>
        <w:numPr>
          <w:ilvl w:val="0"/>
          <w:numId w:val="7"/>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 February 2024</w:t>
      </w:r>
      <w:r>
        <w:rPr>
          <w:rFonts w:ascii="Times New Roman" w:eastAsia="Times New Roman" w:hAnsi="Times New Roman" w:cs="Times New Roman"/>
          <w:sz w:val="24"/>
          <w:szCs w:val="24"/>
        </w:rPr>
        <w:t>, Olympus launched a new generation of flexible gastrointestinal endoscopes in Europe, enhancing precision and maneuverability.</w:t>
      </w:r>
    </w:p>
    <w:p w:rsidR="0005239B" w:rsidRDefault="00EC5B9D">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 March 2024</w:t>
      </w:r>
      <w:r>
        <w:rPr>
          <w:rFonts w:ascii="Times New Roman" w:eastAsia="Times New Roman" w:hAnsi="Times New Roman" w:cs="Times New Roman"/>
          <w:sz w:val="24"/>
          <w:szCs w:val="24"/>
        </w:rPr>
        <w:t xml:space="preserve">, Karl </w:t>
      </w:r>
      <w:proofErr w:type="spellStart"/>
      <w:r>
        <w:rPr>
          <w:rFonts w:ascii="Times New Roman" w:eastAsia="Times New Roman" w:hAnsi="Times New Roman" w:cs="Times New Roman"/>
          <w:sz w:val="24"/>
          <w:szCs w:val="24"/>
        </w:rPr>
        <w:t>Storz</w:t>
      </w:r>
      <w:proofErr w:type="spellEnd"/>
      <w:r>
        <w:rPr>
          <w:rFonts w:ascii="Times New Roman" w:eastAsia="Times New Roman" w:hAnsi="Times New Roman" w:cs="Times New Roman"/>
          <w:sz w:val="24"/>
          <w:szCs w:val="24"/>
        </w:rPr>
        <w:t xml:space="preserve"> collaborated with Lithuanian hospitals to provide training workshops on advanced laparoscopy.</w:t>
      </w:r>
    </w:p>
    <w:p w:rsidR="0005239B" w:rsidRDefault="00EC5B9D">
      <w:pPr>
        <w:numPr>
          <w:ilvl w:val="0"/>
          <w:numId w:val="7"/>
        </w:numPr>
        <w:spacing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In April 2025</w:t>
      </w:r>
      <w:r>
        <w:rPr>
          <w:rFonts w:ascii="Times New Roman" w:eastAsia="Times New Roman" w:hAnsi="Times New Roman" w:cs="Times New Roman"/>
          <w:sz w:val="24"/>
          <w:szCs w:val="24"/>
        </w:rPr>
        <w:t>, FUJIFILM Healthcare Europe launched the ELUXEO® 8000, an advanced endoscopy system featuring enhanced therapeutic capabilities, improv</w:t>
      </w:r>
      <w:r>
        <w:rPr>
          <w:rFonts w:ascii="Times New Roman" w:eastAsia="Times New Roman" w:hAnsi="Times New Roman" w:cs="Times New Roman"/>
          <w:sz w:val="24"/>
          <w:szCs w:val="24"/>
        </w:rPr>
        <w:t xml:space="preserve">ed image quality, </w:t>
      </w:r>
      <w:r>
        <w:rPr>
          <w:rFonts w:ascii="Times New Roman" w:eastAsia="Times New Roman" w:hAnsi="Times New Roman" w:cs="Times New Roman"/>
          <w:sz w:val="24"/>
          <w:szCs w:val="24"/>
        </w:rPr>
        <w:lastRenderedPageBreak/>
        <w:t>and integrated workflow management. This marks the first release under the company’s ‘WELCOME, FUTURE’ initiative, signaling a new wave of innovative medical technologies.</w:t>
      </w:r>
    </w:p>
    <w:p w:rsidR="0005239B" w:rsidRDefault="0005239B">
      <w:pPr>
        <w:spacing w:after="0" w:line="360" w:lineRule="auto"/>
        <w:jc w:val="both"/>
        <w:rPr>
          <w:rFonts w:ascii="Times New Roman" w:eastAsia="Times New Roman" w:hAnsi="Times New Roman" w:cs="Times New Roman"/>
          <w:sz w:val="24"/>
          <w:szCs w:val="24"/>
        </w:rPr>
      </w:pPr>
    </w:p>
    <w:p w:rsidR="0005239B" w:rsidRDefault="00EC5B9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Attractiveness</w:t>
      </w:r>
    </w:p>
    <w:p w:rsidR="0005239B" w:rsidRDefault="00EC5B9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Lithuania offers a growing market for endos</w:t>
      </w:r>
      <w:r>
        <w:rPr>
          <w:rFonts w:ascii="Times New Roman" w:eastAsia="Times New Roman" w:hAnsi="Times New Roman" w:cs="Times New Roman"/>
          <w:sz w:val="24"/>
          <w:szCs w:val="24"/>
        </w:rPr>
        <w:t>copy devices due to increasing procedural volumes, improving healthcare access, and supportive health policies. Investments in hospital modernization and demand for preventive care create attractive opportunities for global and regional device manufacturer</w:t>
      </w:r>
      <w:r>
        <w:rPr>
          <w:rFonts w:ascii="Times New Roman" w:eastAsia="Times New Roman" w:hAnsi="Times New Roman" w:cs="Times New Roman"/>
          <w:sz w:val="24"/>
          <w:szCs w:val="24"/>
        </w:rPr>
        <w:t>s.</w:t>
      </w:r>
    </w:p>
    <w:p w:rsidR="0005239B" w:rsidRDefault="0005239B">
      <w:pPr>
        <w:spacing w:after="0" w:line="360" w:lineRule="auto"/>
        <w:jc w:val="both"/>
        <w:rPr>
          <w:rFonts w:ascii="Times New Roman" w:eastAsia="Times New Roman" w:hAnsi="Times New Roman" w:cs="Times New Roman"/>
          <w:sz w:val="24"/>
          <w:szCs w:val="24"/>
        </w:rPr>
      </w:pPr>
    </w:p>
    <w:p w:rsidR="0005239B" w:rsidRDefault="00EC5B9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Porter’s Five Forces Analysis</w:t>
      </w:r>
    </w:p>
    <w:p w:rsidR="0005239B" w:rsidRDefault="00EC5B9D">
      <w:pPr>
        <w:numPr>
          <w:ilvl w:val="0"/>
          <w:numId w:val="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2336" behindDoc="1" locked="0" layoutInCell="1" hidden="0" allowOverlap="1">
            <wp:simplePos x="0" y="0"/>
            <wp:positionH relativeFrom="page">
              <wp:posOffset>-91439</wp:posOffset>
            </wp:positionH>
            <wp:positionV relativeFrom="page">
              <wp:posOffset>-110488</wp:posOffset>
            </wp:positionV>
            <wp:extent cx="10233025" cy="14450060"/>
            <wp:effectExtent l="0" t="0" r="0" b="0"/>
            <wp:wrapNone/>
            <wp:docPr id="9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Threat of New Entrants:</w:t>
      </w:r>
      <w:r>
        <w:rPr>
          <w:rFonts w:ascii="Times New Roman" w:eastAsia="Times New Roman" w:hAnsi="Times New Roman" w:cs="Times New Roman"/>
          <w:sz w:val="24"/>
          <w:szCs w:val="24"/>
        </w:rPr>
        <w:t xml:space="preserve"> Moderate – Capital requirements and regulatory approvals present entry barriers.</w:t>
      </w:r>
    </w:p>
    <w:p w:rsidR="0005239B" w:rsidRDefault="00EC5B9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Power of Suppliers:</w:t>
      </w:r>
      <w:r>
        <w:rPr>
          <w:rFonts w:ascii="Times New Roman" w:eastAsia="Times New Roman" w:hAnsi="Times New Roman" w:cs="Times New Roman"/>
          <w:sz w:val="24"/>
          <w:szCs w:val="24"/>
        </w:rPr>
        <w:t xml:space="preserve"> Moderate – Technological differentiation among suppliers limits substitution.</w:t>
      </w:r>
    </w:p>
    <w:p w:rsidR="0005239B" w:rsidRDefault="00EC5B9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w:t>
      </w:r>
      <w:r>
        <w:rPr>
          <w:rFonts w:ascii="Times New Roman" w:eastAsia="Times New Roman" w:hAnsi="Times New Roman" w:cs="Times New Roman"/>
          <w:b/>
          <w:sz w:val="24"/>
          <w:szCs w:val="24"/>
        </w:rPr>
        <w:t>ing Power of Buyers:</w:t>
      </w:r>
      <w:r>
        <w:rPr>
          <w:rFonts w:ascii="Times New Roman" w:eastAsia="Times New Roman" w:hAnsi="Times New Roman" w:cs="Times New Roman"/>
          <w:sz w:val="24"/>
          <w:szCs w:val="24"/>
        </w:rPr>
        <w:t xml:space="preserve"> High – Healthcare institutions seek affordable, reliable, and service-backed solutions.</w:t>
      </w:r>
    </w:p>
    <w:p w:rsidR="0005239B" w:rsidRDefault="00EC5B9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Substitutes:</w:t>
      </w:r>
      <w:r>
        <w:rPr>
          <w:rFonts w:ascii="Times New Roman" w:eastAsia="Times New Roman" w:hAnsi="Times New Roman" w:cs="Times New Roman"/>
          <w:sz w:val="24"/>
          <w:szCs w:val="24"/>
        </w:rPr>
        <w:t xml:space="preserve"> Low – Minimally invasive diagnostics and surgeries have few alternatives.</w:t>
      </w:r>
    </w:p>
    <w:p w:rsidR="0005239B" w:rsidRDefault="00EC5B9D">
      <w:pPr>
        <w:numPr>
          <w:ilvl w:val="0"/>
          <w:numId w:val="1"/>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Competitive Rivalry:</w:t>
      </w:r>
      <w:r>
        <w:rPr>
          <w:rFonts w:ascii="Times New Roman" w:eastAsia="Times New Roman" w:hAnsi="Times New Roman" w:cs="Times New Roman"/>
          <w:sz w:val="24"/>
          <w:szCs w:val="24"/>
        </w:rPr>
        <w:t xml:space="preserve"> High – Global giants compete </w:t>
      </w:r>
      <w:r>
        <w:rPr>
          <w:rFonts w:ascii="Times New Roman" w:eastAsia="Times New Roman" w:hAnsi="Times New Roman" w:cs="Times New Roman"/>
          <w:sz w:val="24"/>
          <w:szCs w:val="24"/>
        </w:rPr>
        <w:t>with local distributors for market share.</w:t>
      </w:r>
    </w:p>
    <w:p w:rsidR="0005239B" w:rsidRDefault="0005239B">
      <w:pPr>
        <w:spacing w:before="280" w:after="280" w:line="360" w:lineRule="auto"/>
        <w:rPr>
          <w:rFonts w:ascii="Times New Roman" w:eastAsia="Times New Roman" w:hAnsi="Times New Roman" w:cs="Times New Roman"/>
          <w:b/>
          <w:sz w:val="28"/>
          <w:szCs w:val="28"/>
        </w:rPr>
      </w:pPr>
    </w:p>
    <w:p w:rsidR="0005239B" w:rsidRDefault="0005239B">
      <w:pPr>
        <w:spacing w:before="280" w:after="280" w:line="360" w:lineRule="auto"/>
        <w:rPr>
          <w:rFonts w:ascii="Times New Roman" w:eastAsia="Times New Roman" w:hAnsi="Times New Roman" w:cs="Times New Roman"/>
          <w:b/>
          <w:sz w:val="28"/>
          <w:szCs w:val="28"/>
        </w:rPr>
      </w:pPr>
    </w:p>
    <w:p w:rsidR="0005239B" w:rsidRDefault="0005239B">
      <w:pPr>
        <w:spacing w:before="280" w:after="280" w:line="360" w:lineRule="auto"/>
        <w:rPr>
          <w:rFonts w:ascii="Times New Roman" w:eastAsia="Times New Roman" w:hAnsi="Times New Roman" w:cs="Times New Roman"/>
          <w:b/>
          <w:sz w:val="28"/>
          <w:szCs w:val="28"/>
        </w:rPr>
      </w:pPr>
    </w:p>
    <w:p w:rsidR="0005239B" w:rsidRDefault="0005239B">
      <w:pPr>
        <w:spacing w:before="280" w:after="280" w:line="360" w:lineRule="auto"/>
        <w:rPr>
          <w:rFonts w:ascii="Times New Roman" w:eastAsia="Times New Roman" w:hAnsi="Times New Roman" w:cs="Times New Roman"/>
          <w:b/>
          <w:sz w:val="28"/>
          <w:szCs w:val="28"/>
        </w:rPr>
      </w:pPr>
    </w:p>
    <w:p w:rsidR="0005239B" w:rsidRDefault="0005239B">
      <w:pPr>
        <w:spacing w:before="280" w:after="280" w:line="360" w:lineRule="auto"/>
        <w:rPr>
          <w:rFonts w:ascii="Times New Roman" w:eastAsia="Times New Roman" w:hAnsi="Times New Roman" w:cs="Times New Roman"/>
          <w:b/>
          <w:sz w:val="28"/>
          <w:szCs w:val="28"/>
        </w:rPr>
      </w:pPr>
    </w:p>
    <w:p w:rsidR="0005239B" w:rsidRDefault="0005239B">
      <w:pPr>
        <w:spacing w:before="280" w:after="280" w:line="360" w:lineRule="auto"/>
        <w:rPr>
          <w:rFonts w:ascii="Times New Roman" w:eastAsia="Times New Roman" w:hAnsi="Times New Roman" w:cs="Times New Roman"/>
          <w:b/>
          <w:sz w:val="28"/>
          <w:szCs w:val="28"/>
        </w:rPr>
      </w:pPr>
    </w:p>
    <w:p w:rsidR="0005239B" w:rsidRDefault="0005239B">
      <w:pPr>
        <w:spacing w:before="280" w:after="280" w:line="360" w:lineRule="auto"/>
        <w:rPr>
          <w:rFonts w:ascii="Times New Roman" w:eastAsia="Times New Roman" w:hAnsi="Times New Roman" w:cs="Times New Roman"/>
          <w:b/>
          <w:sz w:val="28"/>
          <w:szCs w:val="28"/>
        </w:rPr>
      </w:pPr>
    </w:p>
    <w:p w:rsidR="0005239B" w:rsidRDefault="0005239B">
      <w:pPr>
        <w:spacing w:before="280" w:after="280" w:line="360" w:lineRule="auto"/>
        <w:rPr>
          <w:rFonts w:ascii="Times New Roman" w:eastAsia="Times New Roman" w:hAnsi="Times New Roman" w:cs="Times New Roman"/>
          <w:b/>
          <w:sz w:val="28"/>
          <w:szCs w:val="28"/>
        </w:rPr>
      </w:pPr>
    </w:p>
    <w:p w:rsidR="0005239B" w:rsidRDefault="0005239B">
      <w:pPr>
        <w:spacing w:before="280" w:after="280" w:line="360" w:lineRule="auto"/>
        <w:rPr>
          <w:rFonts w:ascii="Times New Roman" w:eastAsia="Times New Roman" w:hAnsi="Times New Roman" w:cs="Times New Roman"/>
          <w:b/>
          <w:sz w:val="28"/>
          <w:szCs w:val="28"/>
        </w:rPr>
      </w:pPr>
    </w:p>
    <w:p w:rsidR="0005239B" w:rsidRDefault="0005239B">
      <w:pPr>
        <w:spacing w:before="280" w:after="280" w:line="360" w:lineRule="auto"/>
        <w:rPr>
          <w:rFonts w:ascii="Times New Roman" w:eastAsia="Times New Roman" w:hAnsi="Times New Roman" w:cs="Times New Roman"/>
          <w:b/>
          <w:sz w:val="28"/>
          <w:szCs w:val="28"/>
        </w:rPr>
      </w:pPr>
    </w:p>
    <w:p w:rsidR="0005239B" w:rsidRDefault="0005239B">
      <w:pPr>
        <w:spacing w:before="280" w:after="280" w:line="360" w:lineRule="auto"/>
        <w:rPr>
          <w:rFonts w:ascii="Times New Roman" w:eastAsia="Times New Roman" w:hAnsi="Times New Roman" w:cs="Times New Roman"/>
          <w:b/>
          <w:sz w:val="24"/>
          <w:szCs w:val="24"/>
        </w:rPr>
      </w:pPr>
    </w:p>
    <w:p w:rsidR="0005239B" w:rsidRDefault="00EC5B9D">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3360" behindDoc="1" locked="0" layoutInCell="1" hidden="0" allowOverlap="1">
            <wp:simplePos x="0" y="0"/>
            <wp:positionH relativeFrom="page">
              <wp:posOffset>-91439</wp:posOffset>
            </wp:positionH>
            <wp:positionV relativeFrom="page">
              <wp:posOffset>-110488</wp:posOffset>
            </wp:positionV>
            <wp:extent cx="10233025" cy="14450060"/>
            <wp:effectExtent l="0" t="0" r="0" b="0"/>
            <wp:wrapNone/>
            <wp:docPr id="9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Table of Contents</w:t>
      </w:r>
    </w:p>
    <w:p w:rsidR="0005239B" w:rsidRDefault="00EC5B9D">
      <w:pPr>
        <w:numPr>
          <w:ilvl w:val="0"/>
          <w:numId w:val="2"/>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 of Lithuania Endoscopy Devices Market</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Overview of the Market</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Scope of Report</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Assumptions</w:t>
      </w:r>
    </w:p>
    <w:p w:rsidR="0005239B" w:rsidRDefault="00EC5B9D">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p>
    <w:p w:rsidR="0005239B" w:rsidRDefault="00EC5B9D">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Methodology</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Data Mining</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Validation</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Primary Interviews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List of Data Sources</w:t>
      </w:r>
    </w:p>
    <w:p w:rsidR="0005239B" w:rsidRDefault="00EC5B9D">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Lithuania Endoscopy Devices Market Outlook</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Overview</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Market Dynamics</w:t>
      </w:r>
    </w:p>
    <w:p w:rsidR="0005239B" w:rsidRDefault="00EC5B9D">
      <w:pPr>
        <w:numPr>
          <w:ilvl w:val="2"/>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 Drivers</w:t>
      </w:r>
    </w:p>
    <w:p w:rsidR="0005239B" w:rsidRDefault="00EC5B9D">
      <w:pPr>
        <w:numPr>
          <w:ilvl w:val="2"/>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 Restraints</w:t>
      </w:r>
    </w:p>
    <w:p w:rsidR="0005239B" w:rsidRDefault="00EC5B9D">
      <w:pPr>
        <w:numPr>
          <w:ilvl w:val="2"/>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4.2.3 Opportunities</w:t>
      </w:r>
    </w:p>
    <w:p w:rsidR="0005239B" w:rsidRDefault="00EC5B9D">
      <w:pPr>
        <w:numPr>
          <w:ilvl w:val="2"/>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4.2.4 Trends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Porter’s Five Forces Model</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Value Chain Analysis</w:t>
      </w:r>
    </w:p>
    <w:p w:rsidR="0005239B" w:rsidRDefault="00EC5B9D">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by Product Type</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Endoscopes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Visualization Systems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Operative Devices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 Insufflators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 Accessories</w:t>
      </w:r>
    </w:p>
    <w:p w:rsidR="0005239B" w:rsidRDefault="00EC5B9D">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by Application</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Gastrointestinal Endoscopy</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Laparoscopy</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Bronchoscopy</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4384" behindDoc="1" locked="0" layoutInCell="1" hidden="0" allowOverlap="1">
            <wp:simplePos x="0" y="0"/>
            <wp:positionH relativeFrom="page">
              <wp:posOffset>-91439</wp:posOffset>
            </wp:positionH>
            <wp:positionV relativeFrom="page">
              <wp:posOffset>-69214</wp:posOffset>
            </wp:positionV>
            <wp:extent cx="10233025" cy="14450060"/>
            <wp:effectExtent l="0" t="0" r="0" b="0"/>
            <wp:wrapNone/>
            <wp:docPr id="9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sz w:val="24"/>
          <w:szCs w:val="24"/>
        </w:rPr>
        <w:t>6.4 Urology Endoscopy</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 Gynecology Endoscopy</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.6 Arthroscopy</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 Others</w:t>
      </w:r>
    </w:p>
    <w:p w:rsidR="0005239B" w:rsidRDefault="00EC5B9D">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by End User</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Hospitals and Clinics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Ambulatory Surgical Centers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Diagnostic Centers</w:t>
      </w:r>
    </w:p>
    <w:p w:rsidR="0005239B" w:rsidRDefault="00EC5B9D">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Competitive Landscape</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Overview</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Company Market Ranking</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 Key Development Strategies</w:t>
      </w:r>
    </w:p>
    <w:p w:rsidR="0005239B" w:rsidRDefault="00EC5B9D">
      <w:pPr>
        <w:numPr>
          <w:ilvl w:val="0"/>
          <w:numId w:val="2"/>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Profiles</w:t>
      </w:r>
    </w:p>
    <w:p w:rsidR="0005239B" w:rsidRDefault="00EC5B9D">
      <w:pPr>
        <w:pBdr>
          <w:top w:val="nil"/>
          <w:left w:val="nil"/>
          <w:bottom w:val="nil"/>
          <w:right w:val="nil"/>
          <w:between w:val="nil"/>
        </w:pBdr>
        <w:spacing w:before="280"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9.1 Olympus Corporation</w:t>
      </w:r>
      <w:r>
        <w:rPr>
          <w:rFonts w:ascii="Times New Roman" w:eastAsia="Times New Roman" w:hAnsi="Times New Roman" w:cs="Times New Roman"/>
          <w:color w:val="000000"/>
          <w:sz w:val="24"/>
          <w:szCs w:val="24"/>
        </w:rPr>
        <w:br/>
        <w:t>9.1.1 Overview</w:t>
      </w:r>
      <w:r>
        <w:rPr>
          <w:rFonts w:ascii="Times New Roman" w:eastAsia="Times New Roman" w:hAnsi="Times New Roman" w:cs="Times New Roman"/>
          <w:color w:val="000000"/>
          <w:sz w:val="24"/>
          <w:szCs w:val="24"/>
        </w:rPr>
        <w:br/>
        <w:t>9.1.2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9.1.3 Product Outlook</w:t>
      </w:r>
      <w:r>
        <w:rPr>
          <w:rFonts w:ascii="Times New Roman" w:eastAsia="Times New Roman" w:hAnsi="Times New Roman" w:cs="Times New Roman"/>
          <w:color w:val="000000"/>
          <w:sz w:val="24"/>
          <w:szCs w:val="24"/>
        </w:rPr>
        <w:br/>
        <w:t>9.1.4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9.2 Karl </w:t>
      </w:r>
      <w:proofErr w:type="spellStart"/>
      <w:r>
        <w:rPr>
          <w:rFonts w:ascii="Times New Roman" w:eastAsia="Times New Roman" w:hAnsi="Times New Roman" w:cs="Times New Roman"/>
          <w:b/>
          <w:color w:val="000000"/>
          <w:sz w:val="24"/>
          <w:szCs w:val="24"/>
        </w:rPr>
        <w:t>Storz</w:t>
      </w:r>
      <w:proofErr w:type="spellEnd"/>
      <w:r>
        <w:rPr>
          <w:rFonts w:ascii="Times New Roman" w:eastAsia="Times New Roman" w:hAnsi="Times New Roman" w:cs="Times New Roman"/>
          <w:b/>
          <w:color w:val="000000"/>
          <w:sz w:val="24"/>
          <w:szCs w:val="24"/>
        </w:rPr>
        <w:t xml:space="preserve"> SE &amp; Co. KG</w:t>
      </w:r>
      <w:r>
        <w:rPr>
          <w:rFonts w:ascii="Times New Roman" w:eastAsia="Times New Roman" w:hAnsi="Times New Roman" w:cs="Times New Roman"/>
          <w:color w:val="000000"/>
          <w:sz w:val="24"/>
          <w:szCs w:val="24"/>
        </w:rPr>
        <w:br/>
        <w:t>9.2.1 Overview</w:t>
      </w:r>
      <w:r>
        <w:rPr>
          <w:rFonts w:ascii="Times New Roman" w:eastAsia="Times New Roman" w:hAnsi="Times New Roman" w:cs="Times New Roman"/>
          <w:color w:val="000000"/>
          <w:sz w:val="24"/>
          <w:szCs w:val="24"/>
        </w:rPr>
        <w:br/>
        <w:t>9.2.2 Financial Performance</w:t>
      </w:r>
      <w:r>
        <w:rPr>
          <w:rFonts w:ascii="Times New Roman" w:eastAsia="Times New Roman" w:hAnsi="Times New Roman" w:cs="Times New Roman"/>
          <w:color w:val="000000"/>
          <w:sz w:val="24"/>
          <w:szCs w:val="24"/>
        </w:rPr>
        <w:br/>
        <w:t>9.2.3 Product Outlook</w:t>
      </w:r>
      <w:r>
        <w:rPr>
          <w:rFonts w:ascii="Times New Roman" w:eastAsia="Times New Roman" w:hAnsi="Times New Roman" w:cs="Times New Roman"/>
          <w:color w:val="000000"/>
          <w:sz w:val="24"/>
          <w:szCs w:val="24"/>
        </w:rPr>
        <w:br/>
        <w:t>9.2.4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9.3 Stryker Corporation</w:t>
      </w:r>
      <w:r>
        <w:rPr>
          <w:rFonts w:ascii="Times New Roman" w:eastAsia="Times New Roman" w:hAnsi="Times New Roman" w:cs="Times New Roman"/>
          <w:color w:val="000000"/>
          <w:sz w:val="24"/>
          <w:szCs w:val="24"/>
        </w:rPr>
        <w:br/>
        <w:t>9.3.1</w:t>
      </w:r>
      <w:r>
        <w:rPr>
          <w:rFonts w:ascii="Times New Roman" w:eastAsia="Times New Roman" w:hAnsi="Times New Roman" w:cs="Times New Roman"/>
          <w:color w:val="000000"/>
          <w:sz w:val="24"/>
          <w:szCs w:val="24"/>
        </w:rPr>
        <w:t xml:space="preserve"> Overview</w:t>
      </w:r>
      <w:r>
        <w:rPr>
          <w:rFonts w:ascii="Times New Roman" w:eastAsia="Times New Roman" w:hAnsi="Times New Roman" w:cs="Times New Roman"/>
          <w:color w:val="000000"/>
          <w:sz w:val="24"/>
          <w:szCs w:val="24"/>
        </w:rPr>
        <w:br/>
        <w:t>9.3.2 Financial Performance</w:t>
      </w:r>
      <w:r>
        <w:rPr>
          <w:rFonts w:ascii="Times New Roman" w:eastAsia="Times New Roman" w:hAnsi="Times New Roman" w:cs="Times New Roman"/>
          <w:color w:val="000000"/>
          <w:sz w:val="24"/>
          <w:szCs w:val="24"/>
        </w:rPr>
        <w:br/>
        <w:t>9.3.3 Product Outlook</w:t>
      </w:r>
      <w:r>
        <w:rPr>
          <w:rFonts w:ascii="Times New Roman" w:eastAsia="Times New Roman" w:hAnsi="Times New Roman" w:cs="Times New Roman"/>
          <w:color w:val="000000"/>
          <w:sz w:val="24"/>
          <w:szCs w:val="24"/>
        </w:rPr>
        <w:br/>
        <w:t>9.3.4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9.4 Boston Scientific Corporation</w:t>
      </w:r>
      <w:r>
        <w:rPr>
          <w:rFonts w:ascii="Times New Roman" w:eastAsia="Times New Roman" w:hAnsi="Times New Roman" w:cs="Times New Roman"/>
          <w:color w:val="000000"/>
          <w:sz w:val="24"/>
          <w:szCs w:val="24"/>
        </w:rPr>
        <w:br/>
        <w:t>9.4.1 Overview</w:t>
      </w:r>
      <w:r>
        <w:rPr>
          <w:rFonts w:ascii="Times New Roman" w:eastAsia="Times New Roman" w:hAnsi="Times New Roman" w:cs="Times New Roman"/>
          <w:color w:val="000000"/>
          <w:sz w:val="24"/>
          <w:szCs w:val="24"/>
        </w:rPr>
        <w:br/>
        <w:t>9.4.2 Financial Performance</w:t>
      </w:r>
      <w:r>
        <w:rPr>
          <w:rFonts w:ascii="Times New Roman" w:eastAsia="Times New Roman" w:hAnsi="Times New Roman" w:cs="Times New Roman"/>
          <w:color w:val="000000"/>
          <w:sz w:val="24"/>
          <w:szCs w:val="24"/>
        </w:rPr>
        <w:br/>
        <w:t>9.4.3 Product Outlook</w:t>
      </w:r>
      <w:r>
        <w:rPr>
          <w:rFonts w:ascii="Times New Roman" w:eastAsia="Times New Roman" w:hAnsi="Times New Roman" w:cs="Times New Roman"/>
          <w:color w:val="000000"/>
          <w:sz w:val="24"/>
          <w:szCs w:val="24"/>
        </w:rPr>
        <w:br/>
        <w:t>9.4.4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5408" behindDoc="1" locked="0" layoutInCell="1" hidden="0" allowOverlap="1">
            <wp:simplePos x="0" y="0"/>
            <wp:positionH relativeFrom="page">
              <wp:posOffset>-91439</wp:posOffset>
            </wp:positionH>
            <wp:positionV relativeFrom="page">
              <wp:posOffset>-138429</wp:posOffset>
            </wp:positionV>
            <wp:extent cx="10233025" cy="14450060"/>
            <wp:effectExtent l="0" t="0" r="0" b="0"/>
            <wp:wrapNone/>
            <wp:docPr id="8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9.5 Medtronic plc</w:t>
      </w:r>
      <w:r>
        <w:rPr>
          <w:rFonts w:ascii="Times New Roman" w:eastAsia="Times New Roman" w:hAnsi="Times New Roman" w:cs="Times New Roman"/>
          <w:color w:val="000000"/>
          <w:sz w:val="24"/>
          <w:szCs w:val="24"/>
        </w:rPr>
        <w:br/>
        <w:t>9.5.1 Overview</w:t>
      </w:r>
      <w:r>
        <w:rPr>
          <w:rFonts w:ascii="Times New Roman" w:eastAsia="Times New Roman" w:hAnsi="Times New Roman" w:cs="Times New Roman"/>
          <w:color w:val="000000"/>
          <w:sz w:val="24"/>
          <w:szCs w:val="24"/>
        </w:rPr>
        <w:br/>
        <w:t>9.5.2 Financial P</w:t>
      </w:r>
      <w:r>
        <w:rPr>
          <w:rFonts w:ascii="Times New Roman" w:eastAsia="Times New Roman" w:hAnsi="Times New Roman" w:cs="Times New Roman"/>
          <w:color w:val="000000"/>
          <w:sz w:val="24"/>
          <w:szCs w:val="24"/>
        </w:rPr>
        <w:t>erformance</w:t>
      </w:r>
      <w:r>
        <w:rPr>
          <w:rFonts w:ascii="Times New Roman" w:eastAsia="Times New Roman" w:hAnsi="Times New Roman" w:cs="Times New Roman"/>
          <w:color w:val="000000"/>
          <w:sz w:val="24"/>
          <w:szCs w:val="24"/>
        </w:rPr>
        <w:br/>
        <w:t>9.5.3 Product Outlook</w:t>
      </w:r>
      <w:r>
        <w:rPr>
          <w:rFonts w:ascii="Times New Roman" w:eastAsia="Times New Roman" w:hAnsi="Times New Roman" w:cs="Times New Roman"/>
          <w:color w:val="000000"/>
          <w:sz w:val="24"/>
          <w:szCs w:val="24"/>
        </w:rPr>
        <w:br/>
        <w:t>9.5.4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9.6 FUJIFILM Holdings Corporation</w:t>
      </w:r>
      <w:r>
        <w:rPr>
          <w:rFonts w:ascii="Times New Roman" w:eastAsia="Times New Roman" w:hAnsi="Times New Roman" w:cs="Times New Roman"/>
          <w:color w:val="000000"/>
          <w:sz w:val="24"/>
          <w:szCs w:val="24"/>
        </w:rPr>
        <w:br/>
        <w:t>9.6.1 Overview</w:t>
      </w:r>
      <w:r>
        <w:rPr>
          <w:rFonts w:ascii="Times New Roman" w:eastAsia="Times New Roman" w:hAnsi="Times New Roman" w:cs="Times New Roman"/>
          <w:color w:val="000000"/>
          <w:sz w:val="24"/>
          <w:szCs w:val="24"/>
        </w:rPr>
        <w:br/>
        <w:t>9.6.2 Financial Performance</w:t>
      </w:r>
      <w:r>
        <w:rPr>
          <w:rFonts w:ascii="Times New Roman" w:eastAsia="Times New Roman" w:hAnsi="Times New Roman" w:cs="Times New Roman"/>
          <w:color w:val="000000"/>
          <w:sz w:val="24"/>
          <w:szCs w:val="24"/>
        </w:rPr>
        <w:br/>
        <w:t>9.6.3 Product Outlook</w:t>
      </w:r>
      <w:r>
        <w:rPr>
          <w:rFonts w:ascii="Times New Roman" w:eastAsia="Times New Roman" w:hAnsi="Times New Roman" w:cs="Times New Roman"/>
          <w:color w:val="000000"/>
          <w:sz w:val="24"/>
          <w:szCs w:val="24"/>
        </w:rPr>
        <w:br/>
        <w:t>9.6.4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9.7 Richard Wolf GmbH</w:t>
      </w:r>
      <w:r>
        <w:rPr>
          <w:rFonts w:ascii="Times New Roman" w:eastAsia="Times New Roman" w:hAnsi="Times New Roman" w:cs="Times New Roman"/>
          <w:color w:val="000000"/>
          <w:sz w:val="24"/>
          <w:szCs w:val="24"/>
        </w:rPr>
        <w:br/>
        <w:t>9.7.1 Overview</w:t>
      </w:r>
      <w:r>
        <w:rPr>
          <w:rFonts w:ascii="Times New Roman" w:eastAsia="Times New Roman" w:hAnsi="Times New Roman" w:cs="Times New Roman"/>
          <w:color w:val="000000"/>
          <w:sz w:val="24"/>
          <w:szCs w:val="24"/>
        </w:rPr>
        <w:br/>
        <w:t>9.7.2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9.7.3 Product</w:t>
      </w:r>
      <w:r>
        <w:rPr>
          <w:rFonts w:ascii="Times New Roman" w:eastAsia="Times New Roman" w:hAnsi="Times New Roman" w:cs="Times New Roman"/>
          <w:color w:val="000000"/>
          <w:sz w:val="24"/>
          <w:szCs w:val="24"/>
        </w:rPr>
        <w:t xml:space="preserve"> Outlook</w:t>
      </w:r>
      <w:r>
        <w:rPr>
          <w:rFonts w:ascii="Times New Roman" w:eastAsia="Times New Roman" w:hAnsi="Times New Roman" w:cs="Times New Roman"/>
          <w:color w:val="000000"/>
          <w:sz w:val="24"/>
          <w:szCs w:val="24"/>
        </w:rPr>
        <w:br/>
        <w:t>9.7.4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9.8 Hoya Corporation (Pentax Medical</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9.8.1 Overview</w:t>
      </w:r>
      <w:r>
        <w:rPr>
          <w:rFonts w:ascii="Times New Roman" w:eastAsia="Times New Roman" w:hAnsi="Times New Roman" w:cs="Times New Roman"/>
          <w:color w:val="000000"/>
          <w:sz w:val="24"/>
          <w:szCs w:val="24"/>
        </w:rPr>
        <w:br/>
        <w:t>9.8.2 Financial Performance</w:t>
      </w:r>
      <w:r>
        <w:rPr>
          <w:rFonts w:ascii="Times New Roman" w:eastAsia="Times New Roman" w:hAnsi="Times New Roman" w:cs="Times New Roman"/>
          <w:color w:val="000000"/>
          <w:sz w:val="24"/>
          <w:szCs w:val="24"/>
        </w:rPr>
        <w:br/>
        <w:t>9.8.3 Product Outlook</w:t>
      </w:r>
      <w:r>
        <w:rPr>
          <w:rFonts w:ascii="Times New Roman" w:eastAsia="Times New Roman" w:hAnsi="Times New Roman" w:cs="Times New Roman"/>
          <w:color w:val="000000"/>
          <w:sz w:val="24"/>
          <w:szCs w:val="24"/>
        </w:rPr>
        <w:br/>
        <w:t>9.8.4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9.9 Smith &amp; Nephew plc</w:t>
      </w:r>
      <w:r>
        <w:rPr>
          <w:rFonts w:ascii="Times New Roman" w:eastAsia="Times New Roman" w:hAnsi="Times New Roman" w:cs="Times New Roman"/>
          <w:color w:val="000000"/>
          <w:sz w:val="24"/>
          <w:szCs w:val="24"/>
        </w:rPr>
        <w:br/>
        <w:t>9.9.1 Overview</w:t>
      </w:r>
      <w:r>
        <w:rPr>
          <w:rFonts w:ascii="Times New Roman" w:eastAsia="Times New Roman" w:hAnsi="Times New Roman" w:cs="Times New Roman"/>
          <w:color w:val="000000"/>
          <w:sz w:val="24"/>
          <w:szCs w:val="24"/>
        </w:rPr>
        <w:br/>
        <w:t>9.9.2 Financial Performance</w:t>
      </w:r>
      <w:r>
        <w:rPr>
          <w:rFonts w:ascii="Times New Roman" w:eastAsia="Times New Roman" w:hAnsi="Times New Roman" w:cs="Times New Roman"/>
          <w:color w:val="000000"/>
          <w:sz w:val="24"/>
          <w:szCs w:val="24"/>
        </w:rPr>
        <w:br/>
        <w:t>9.9.3 Product Outlook</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9.9.4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9.10 Cook Medical</w:t>
      </w:r>
      <w:r>
        <w:rPr>
          <w:rFonts w:ascii="Times New Roman" w:eastAsia="Times New Roman" w:hAnsi="Times New Roman" w:cs="Times New Roman"/>
          <w:color w:val="000000"/>
          <w:sz w:val="24"/>
          <w:szCs w:val="24"/>
        </w:rPr>
        <w:br/>
        <w:t>9.10.1 Overview</w:t>
      </w:r>
      <w:r>
        <w:rPr>
          <w:rFonts w:ascii="Times New Roman" w:eastAsia="Times New Roman" w:hAnsi="Times New Roman" w:cs="Times New Roman"/>
          <w:color w:val="000000"/>
          <w:sz w:val="24"/>
          <w:szCs w:val="24"/>
        </w:rPr>
        <w:br/>
        <w:t>9.10.2 Financial Performance</w:t>
      </w:r>
      <w:r>
        <w:rPr>
          <w:rFonts w:ascii="Times New Roman" w:eastAsia="Times New Roman" w:hAnsi="Times New Roman" w:cs="Times New Roman"/>
          <w:color w:val="000000"/>
          <w:sz w:val="24"/>
          <w:szCs w:val="24"/>
        </w:rPr>
        <w:br/>
        <w:t>9.10.3 Product Outlook</w:t>
      </w:r>
      <w:r>
        <w:rPr>
          <w:rFonts w:ascii="Times New Roman" w:eastAsia="Times New Roman" w:hAnsi="Times New Roman" w:cs="Times New Roman"/>
          <w:color w:val="000000"/>
          <w:sz w:val="24"/>
          <w:szCs w:val="24"/>
        </w:rPr>
        <w:br/>
        <w:t>9.10.4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6432" behindDoc="1" locked="0" layoutInCell="1" hidden="0" allowOverlap="1">
            <wp:simplePos x="0" y="0"/>
            <wp:positionH relativeFrom="page">
              <wp:posOffset>-167639</wp:posOffset>
            </wp:positionH>
            <wp:positionV relativeFrom="page">
              <wp:posOffset>-360044</wp:posOffset>
            </wp:positionV>
            <wp:extent cx="10233025" cy="14450060"/>
            <wp:effectExtent l="0" t="0" r="0" b="0"/>
            <wp:wrapNone/>
            <wp:docPr id="8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9.11 CONMED Corporation</w:t>
      </w:r>
      <w:r>
        <w:rPr>
          <w:rFonts w:ascii="Times New Roman" w:eastAsia="Times New Roman" w:hAnsi="Times New Roman" w:cs="Times New Roman"/>
          <w:color w:val="000000"/>
          <w:sz w:val="24"/>
          <w:szCs w:val="24"/>
        </w:rPr>
        <w:br/>
        <w:t>9.11.1 Overview</w:t>
      </w:r>
      <w:r>
        <w:rPr>
          <w:rFonts w:ascii="Times New Roman" w:eastAsia="Times New Roman" w:hAnsi="Times New Roman" w:cs="Times New Roman"/>
          <w:color w:val="000000"/>
          <w:sz w:val="24"/>
          <w:szCs w:val="24"/>
        </w:rPr>
        <w:br/>
        <w:t>9.11.2 Financial Performance</w:t>
      </w:r>
      <w:r>
        <w:rPr>
          <w:rFonts w:ascii="Times New Roman" w:eastAsia="Times New Roman" w:hAnsi="Times New Roman" w:cs="Times New Roman"/>
          <w:color w:val="000000"/>
          <w:sz w:val="24"/>
          <w:szCs w:val="24"/>
        </w:rPr>
        <w:br/>
        <w:t>9.11.3 Product Outlook</w:t>
      </w:r>
      <w:r>
        <w:rPr>
          <w:rFonts w:ascii="Times New Roman" w:eastAsia="Times New Roman" w:hAnsi="Times New Roman" w:cs="Times New Roman"/>
          <w:color w:val="000000"/>
          <w:sz w:val="24"/>
          <w:szCs w:val="24"/>
        </w:rPr>
        <w:br/>
        <w:t>9.11.4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9.12 B</w:t>
      </w:r>
      <w:r>
        <w:rPr>
          <w:rFonts w:ascii="Times New Roman" w:eastAsia="Times New Roman" w:hAnsi="Times New Roman" w:cs="Times New Roman"/>
          <w:b/>
          <w:color w:val="000000"/>
          <w:sz w:val="24"/>
          <w:szCs w:val="24"/>
        </w:rPr>
        <w:t xml:space="preserve">. Braun </w:t>
      </w:r>
      <w:proofErr w:type="spellStart"/>
      <w:r>
        <w:rPr>
          <w:rFonts w:ascii="Times New Roman" w:eastAsia="Times New Roman" w:hAnsi="Times New Roman" w:cs="Times New Roman"/>
          <w:b/>
          <w:color w:val="000000"/>
          <w:sz w:val="24"/>
          <w:szCs w:val="24"/>
        </w:rPr>
        <w:t>Melsungen</w:t>
      </w:r>
      <w:proofErr w:type="spellEnd"/>
      <w:r>
        <w:rPr>
          <w:rFonts w:ascii="Times New Roman" w:eastAsia="Times New Roman" w:hAnsi="Times New Roman" w:cs="Times New Roman"/>
          <w:b/>
          <w:color w:val="000000"/>
          <w:sz w:val="24"/>
          <w:szCs w:val="24"/>
        </w:rPr>
        <w:t xml:space="preserve"> AG</w:t>
      </w:r>
      <w:r>
        <w:rPr>
          <w:rFonts w:ascii="Times New Roman" w:eastAsia="Times New Roman" w:hAnsi="Times New Roman" w:cs="Times New Roman"/>
          <w:color w:val="000000"/>
          <w:sz w:val="24"/>
          <w:szCs w:val="24"/>
        </w:rPr>
        <w:br/>
        <w:t>9.12.1 Overview</w:t>
      </w:r>
      <w:r>
        <w:rPr>
          <w:rFonts w:ascii="Times New Roman" w:eastAsia="Times New Roman" w:hAnsi="Times New Roman" w:cs="Times New Roman"/>
          <w:color w:val="000000"/>
          <w:sz w:val="24"/>
          <w:szCs w:val="24"/>
        </w:rPr>
        <w:br/>
        <w:t>9.12.2 Financial Performance</w:t>
      </w:r>
      <w:r>
        <w:rPr>
          <w:rFonts w:ascii="Times New Roman" w:eastAsia="Times New Roman" w:hAnsi="Times New Roman" w:cs="Times New Roman"/>
          <w:color w:val="000000"/>
          <w:sz w:val="24"/>
          <w:szCs w:val="24"/>
        </w:rPr>
        <w:br/>
        <w:t>9.12.3 Product Outlook</w:t>
      </w:r>
      <w:r>
        <w:rPr>
          <w:rFonts w:ascii="Times New Roman" w:eastAsia="Times New Roman" w:hAnsi="Times New Roman" w:cs="Times New Roman"/>
          <w:color w:val="000000"/>
          <w:sz w:val="24"/>
          <w:szCs w:val="24"/>
        </w:rPr>
        <w:br/>
        <w:t>9.12.4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9.13 </w:t>
      </w:r>
      <w:proofErr w:type="spellStart"/>
      <w:r>
        <w:rPr>
          <w:rFonts w:ascii="Times New Roman" w:eastAsia="Times New Roman" w:hAnsi="Times New Roman" w:cs="Times New Roman"/>
          <w:b/>
          <w:color w:val="000000"/>
          <w:sz w:val="24"/>
          <w:szCs w:val="24"/>
        </w:rPr>
        <w:t>Ambu</w:t>
      </w:r>
      <w:proofErr w:type="spellEnd"/>
      <w:r>
        <w:rPr>
          <w:rFonts w:ascii="Times New Roman" w:eastAsia="Times New Roman" w:hAnsi="Times New Roman" w:cs="Times New Roman"/>
          <w:b/>
          <w:color w:val="000000"/>
          <w:sz w:val="24"/>
          <w:szCs w:val="24"/>
        </w:rPr>
        <w:t xml:space="preserve"> A/S</w:t>
      </w:r>
      <w:r>
        <w:rPr>
          <w:rFonts w:ascii="Times New Roman" w:eastAsia="Times New Roman" w:hAnsi="Times New Roman" w:cs="Times New Roman"/>
          <w:color w:val="000000"/>
          <w:sz w:val="24"/>
          <w:szCs w:val="24"/>
        </w:rPr>
        <w:br/>
        <w:t>9.13.1 Overview</w:t>
      </w:r>
      <w:r>
        <w:rPr>
          <w:rFonts w:ascii="Times New Roman" w:eastAsia="Times New Roman" w:hAnsi="Times New Roman" w:cs="Times New Roman"/>
          <w:color w:val="000000"/>
          <w:sz w:val="24"/>
          <w:szCs w:val="24"/>
        </w:rPr>
        <w:br/>
        <w:t>9.13.2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9.13.3 Product Outlook</w:t>
      </w:r>
      <w:r>
        <w:rPr>
          <w:rFonts w:ascii="Times New Roman" w:eastAsia="Times New Roman" w:hAnsi="Times New Roman" w:cs="Times New Roman"/>
          <w:color w:val="000000"/>
          <w:sz w:val="24"/>
          <w:szCs w:val="24"/>
        </w:rPr>
        <w:br/>
        <w:t>9.13.4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9.14 </w:t>
      </w:r>
      <w:proofErr w:type="spellStart"/>
      <w:r>
        <w:rPr>
          <w:rFonts w:ascii="Times New Roman" w:eastAsia="Times New Roman" w:hAnsi="Times New Roman" w:cs="Times New Roman"/>
          <w:b/>
          <w:color w:val="000000"/>
          <w:sz w:val="24"/>
          <w:szCs w:val="24"/>
        </w:rPr>
        <w:t>Arthrex</w:t>
      </w:r>
      <w:proofErr w:type="spellEnd"/>
      <w:r>
        <w:rPr>
          <w:rFonts w:ascii="Times New Roman" w:eastAsia="Times New Roman" w:hAnsi="Times New Roman" w:cs="Times New Roman"/>
          <w:b/>
          <w:color w:val="000000"/>
          <w:sz w:val="24"/>
          <w:szCs w:val="24"/>
        </w:rPr>
        <w:t>, Inc</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9.14.1 Overview</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9.14.2 Financial Performance</w:t>
      </w:r>
      <w:r>
        <w:rPr>
          <w:rFonts w:ascii="Times New Roman" w:eastAsia="Times New Roman" w:hAnsi="Times New Roman" w:cs="Times New Roman"/>
          <w:color w:val="000000"/>
          <w:sz w:val="24"/>
          <w:szCs w:val="24"/>
        </w:rPr>
        <w:br/>
        <w:t>9.14.3 Product Outlook</w:t>
      </w:r>
      <w:r>
        <w:rPr>
          <w:rFonts w:ascii="Times New Roman" w:eastAsia="Times New Roman" w:hAnsi="Times New Roman" w:cs="Times New Roman"/>
          <w:color w:val="000000"/>
          <w:sz w:val="24"/>
          <w:szCs w:val="24"/>
        </w:rPr>
        <w:br/>
        <w:t>9.14.4 Key Developments</w:t>
      </w:r>
    </w:p>
    <w:p w:rsidR="0005239B" w:rsidRDefault="00EC5B9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9.15 </w:t>
      </w:r>
      <w:proofErr w:type="spellStart"/>
      <w:r>
        <w:rPr>
          <w:rFonts w:ascii="Times New Roman" w:eastAsia="Times New Roman" w:hAnsi="Times New Roman" w:cs="Times New Roman"/>
          <w:b/>
          <w:color w:val="000000"/>
          <w:sz w:val="24"/>
          <w:szCs w:val="24"/>
        </w:rPr>
        <w:t>Xion</w:t>
      </w:r>
      <w:proofErr w:type="spellEnd"/>
      <w:r>
        <w:rPr>
          <w:rFonts w:ascii="Times New Roman" w:eastAsia="Times New Roman" w:hAnsi="Times New Roman" w:cs="Times New Roman"/>
          <w:b/>
          <w:color w:val="000000"/>
          <w:sz w:val="24"/>
          <w:szCs w:val="24"/>
        </w:rPr>
        <w:t xml:space="preserve"> Medical</w:t>
      </w:r>
      <w:r>
        <w:rPr>
          <w:rFonts w:ascii="Times New Roman" w:eastAsia="Times New Roman" w:hAnsi="Times New Roman" w:cs="Times New Roman"/>
          <w:color w:val="000000"/>
          <w:sz w:val="24"/>
          <w:szCs w:val="24"/>
        </w:rPr>
        <w:br/>
        <w:t>9.15.1 Overview</w:t>
      </w:r>
      <w:r>
        <w:rPr>
          <w:rFonts w:ascii="Times New Roman" w:eastAsia="Times New Roman" w:hAnsi="Times New Roman" w:cs="Times New Roman"/>
          <w:color w:val="000000"/>
          <w:sz w:val="24"/>
          <w:szCs w:val="24"/>
        </w:rPr>
        <w:br/>
        <w:t>9.15.2 Financial Performance</w:t>
      </w:r>
      <w:r>
        <w:rPr>
          <w:rFonts w:ascii="Times New Roman" w:eastAsia="Times New Roman" w:hAnsi="Times New Roman" w:cs="Times New Roman"/>
          <w:color w:val="000000"/>
          <w:sz w:val="24"/>
          <w:szCs w:val="24"/>
        </w:rPr>
        <w:br/>
        <w:t>9.15.3 Product Outlook</w:t>
      </w:r>
      <w:r>
        <w:rPr>
          <w:rFonts w:ascii="Times New Roman" w:eastAsia="Times New Roman" w:hAnsi="Times New Roman" w:cs="Times New Roman"/>
          <w:color w:val="000000"/>
          <w:sz w:val="24"/>
          <w:szCs w:val="24"/>
        </w:rPr>
        <w:br/>
        <w:t>9.15.4 Key Developments</w:t>
      </w:r>
    </w:p>
    <w:p w:rsidR="0005239B" w:rsidRDefault="00EC5B9D">
      <w:pPr>
        <w:pBdr>
          <w:top w:val="nil"/>
          <w:left w:val="nil"/>
          <w:bottom w:val="nil"/>
          <w:right w:val="nil"/>
          <w:between w:val="nil"/>
        </w:pBdr>
        <w:spacing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9.16 Henke-Sass, Wolf GmbH</w:t>
      </w:r>
      <w:r>
        <w:rPr>
          <w:rFonts w:ascii="Times New Roman" w:eastAsia="Times New Roman" w:hAnsi="Times New Roman" w:cs="Times New Roman"/>
          <w:color w:val="000000"/>
          <w:sz w:val="24"/>
          <w:szCs w:val="24"/>
        </w:rPr>
        <w:br/>
        <w:t>9.16.1 Overview</w:t>
      </w:r>
      <w:r>
        <w:rPr>
          <w:rFonts w:ascii="Times New Roman" w:eastAsia="Times New Roman" w:hAnsi="Times New Roman" w:cs="Times New Roman"/>
          <w:color w:val="000000"/>
          <w:sz w:val="24"/>
          <w:szCs w:val="24"/>
        </w:rPr>
        <w:br/>
        <w:t>9.16.2 Financial Performanc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br/>
        <w:t>9.16.3 Product Outlook</w:t>
      </w:r>
      <w:r>
        <w:rPr>
          <w:rFonts w:ascii="Times New Roman" w:eastAsia="Times New Roman" w:hAnsi="Times New Roman" w:cs="Times New Roman"/>
          <w:color w:val="000000"/>
          <w:sz w:val="24"/>
          <w:szCs w:val="24"/>
        </w:rPr>
        <w:br/>
        <w:t>9.16.4 Key Developments</w:t>
      </w:r>
    </w:p>
    <w:p w:rsidR="0005239B" w:rsidRDefault="00EC5B9D">
      <w:pPr>
        <w:spacing w:before="280" w:after="28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7456" behindDoc="1" locked="0" layoutInCell="1" hidden="0" allowOverlap="1">
            <wp:simplePos x="0" y="0"/>
            <wp:positionH relativeFrom="page">
              <wp:posOffset>-91439</wp:posOffset>
            </wp:positionH>
            <wp:positionV relativeFrom="page">
              <wp:posOffset>-179704</wp:posOffset>
            </wp:positionV>
            <wp:extent cx="10233025" cy="14450060"/>
            <wp:effectExtent l="0" t="0" r="0" b="0"/>
            <wp:wrapNone/>
            <wp:docPr id="9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p>
    <w:p w:rsidR="0005239B" w:rsidRDefault="00EC5B9D">
      <w:pPr>
        <w:numPr>
          <w:ilvl w:val="0"/>
          <w:numId w:val="2"/>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 Developments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 Product Launches/Developments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 Mergers and Acquisitions</w:t>
      </w:r>
    </w:p>
    <w:p w:rsidR="0005239B" w:rsidRDefault="00EC5B9D">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 Business Expansions</w:t>
      </w:r>
    </w:p>
    <w:p w:rsidR="0005239B" w:rsidRDefault="00EC5B9D">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w:t>
      </w:r>
    </w:p>
    <w:p w:rsidR="0005239B" w:rsidRDefault="00EC5B9D">
      <w:pPr>
        <w:numPr>
          <w:ilvl w:val="1"/>
          <w:numId w:val="2"/>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 Related Research</w:t>
      </w:r>
    </w:p>
    <w:p w:rsidR="0005239B" w:rsidRDefault="0005239B">
      <w:pPr>
        <w:spacing w:line="360" w:lineRule="auto"/>
      </w:pPr>
    </w:p>
    <w:sectPr w:rsidR="0005239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42BA"/>
    <w:multiLevelType w:val="multilevel"/>
    <w:tmpl w:val="1F264A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2F669F6"/>
    <w:multiLevelType w:val="multilevel"/>
    <w:tmpl w:val="7DDA7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524407"/>
    <w:multiLevelType w:val="multilevel"/>
    <w:tmpl w:val="0BEA85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BF43720"/>
    <w:multiLevelType w:val="multilevel"/>
    <w:tmpl w:val="01DCC9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0C2161A"/>
    <w:multiLevelType w:val="multilevel"/>
    <w:tmpl w:val="4168C1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1F9251F"/>
    <w:multiLevelType w:val="multilevel"/>
    <w:tmpl w:val="C518AB2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3ED1172"/>
    <w:multiLevelType w:val="multilevel"/>
    <w:tmpl w:val="E18E9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39B"/>
    <w:rsid w:val="0005239B"/>
    <w:rsid w:val="00EC5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1323"/>
  <w15:docId w15:val="{39BE7FED-91EE-4C5C-8BF7-5609FC32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1D0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0C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0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1D0C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0C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CC5"/>
    <w:rPr>
      <w:rFonts w:ascii="Times New Roman" w:eastAsia="Times New Roman" w:hAnsi="Times New Roman" w:cs="Times New Roman"/>
      <w:b/>
      <w:bCs/>
      <w:sz w:val="27"/>
      <w:szCs w:val="27"/>
    </w:rPr>
  </w:style>
  <w:style w:type="paragraph" w:styleId="NormalWeb">
    <w:name w:val="Normal (Web)"/>
    <w:basedOn w:val="Normal"/>
    <w:uiPriority w:val="99"/>
    <w:unhideWhenUsed/>
    <w:rsid w:val="001D0C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CC5"/>
    <w:rPr>
      <w:b/>
      <w:bCs/>
    </w:rPr>
  </w:style>
  <w:style w:type="paragraph" w:styleId="ListParagraph">
    <w:name w:val="List Paragraph"/>
    <w:basedOn w:val="Normal"/>
    <w:uiPriority w:val="34"/>
    <w:qFormat/>
    <w:rsid w:val="009A0C4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PX4Lwk41TgmXv3Qao2iqPwzbnA==">CgMxLjA4AHIhMVJwLWYxQXlzSEpZUUZsT1RXU2ZRRlk2bllmb01uNDlt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2025-04-30T05:01:00Z</dcterms:created>
  <dcterms:modified xsi:type="dcterms:W3CDTF">2025-05-18T15:47:00Z</dcterms:modified>
</cp:coreProperties>
</file>