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FE9" w:rsidRDefault="00DB750B">
      <w:pPr>
        <w:spacing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MALTA MEDICAL DEVICES MARKET</w:t>
      </w: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-36367</wp:posOffset>
            </wp:positionH>
            <wp:positionV relativeFrom="page">
              <wp:posOffset>-152399</wp:posOffset>
            </wp:positionV>
            <wp:extent cx="10233025" cy="14450060"/>
            <wp:effectExtent l="0" t="0" r="0" b="0"/>
            <wp:wrapNone/>
            <wp:docPr id="8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the Malta medical devices market was valued at USD 100.05 million in 2024 and is projected to reach USD 109.19w million by 2032, growing at a CAGR of 1.45% during the forecast period.</w:t>
      </w:r>
    </w:p>
    <w:p w:rsidR="00DB750B" w:rsidRDefault="00DB750B">
      <w:pPr>
        <w:spacing w:before="280" w:after="280" w:line="36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rPr>
        <w:drawing>
          <wp:inline distT="0" distB="0" distL="0" distR="0">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t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bookmarkEnd w:id="0"/>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 is driven by factors such as technological advancements in diagnostics and treatment, increasing healthcare expenditure, and Malta's alignment with European medical device regulations (EU MDR). Demand is rising for both high-end devices and basi</w:t>
      </w:r>
      <w:r>
        <w:rPr>
          <w:rFonts w:ascii="Times New Roman" w:eastAsia="Times New Roman" w:hAnsi="Times New Roman" w:cs="Times New Roman"/>
          <w:sz w:val="24"/>
          <w:szCs w:val="24"/>
        </w:rPr>
        <w:t>c medical supplies due to increased surgical volumes, outpatient services, and enhanced public healthcare funding.</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Malta’s public healthcare system, which offers universal access, creates a stable demand for essential medical equipment. At the same time, p</w:t>
      </w:r>
      <w:r>
        <w:rPr>
          <w:rFonts w:ascii="Times New Roman" w:eastAsia="Times New Roman" w:hAnsi="Times New Roman" w:cs="Times New Roman"/>
          <w:sz w:val="24"/>
          <w:szCs w:val="24"/>
        </w:rPr>
        <w:t>rivate sector growth, especially in elective procedures and specialty care, is fueling the need for advanced diagnostic imaging systems, minimally invasive surgical tools, and digital monitoring devices.</w:t>
      </w: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Malta medical devices Market Definition</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devi</w:t>
      </w:r>
      <w:r>
        <w:rPr>
          <w:rFonts w:ascii="Times New Roman" w:eastAsia="Times New Roman" w:hAnsi="Times New Roman" w:cs="Times New Roman"/>
          <w:sz w:val="24"/>
          <w:szCs w:val="24"/>
        </w:rPr>
        <w:t xml:space="preserve">ces refer to instruments, apparatuses, machines, implants, or related articles used for diagnosing, preventing, monitoring, or treating medical conditions in humans. These devices </w:t>
      </w:r>
      <w:r>
        <w:rPr>
          <w:rFonts w:ascii="Times New Roman" w:eastAsia="Times New Roman" w:hAnsi="Times New Roman" w:cs="Times New Roman"/>
          <w:sz w:val="24"/>
          <w:szCs w:val="24"/>
        </w:rPr>
        <w:lastRenderedPageBreak/>
        <w:t>range from simple tools like thermometers and syringes to complex technologi</w:t>
      </w:r>
      <w:r>
        <w:rPr>
          <w:rFonts w:ascii="Times New Roman" w:eastAsia="Times New Roman" w:hAnsi="Times New Roman" w:cs="Times New Roman"/>
          <w:sz w:val="24"/>
          <w:szCs w:val="24"/>
        </w:rPr>
        <w:t>es like MRI machines, pacemakers, and robotic surgical systems.</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Malta, medical devices play a vital role in enhancing patient outcomes across healthcare facilities, including public hospitals, private clinics, and ambulatory care centers. The devices en</w:t>
      </w:r>
      <w:r>
        <w:rPr>
          <w:rFonts w:ascii="Times New Roman" w:eastAsia="Times New Roman" w:hAnsi="Times New Roman" w:cs="Times New Roman"/>
          <w:sz w:val="24"/>
          <w:szCs w:val="24"/>
        </w:rPr>
        <w:t>compass diagnostic imaging tools, surgical instruments, patient monitoring systems, infusion pumps, orthopedic implants, and consumables such as catheters and wound care products.</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Malta's growing healthcare demands, aging population, and rising chronic dis</w:t>
      </w:r>
      <w:r>
        <w:rPr>
          <w:rFonts w:ascii="Times New Roman" w:eastAsia="Times New Roman" w:hAnsi="Times New Roman" w:cs="Times New Roman"/>
          <w:sz w:val="24"/>
          <w:szCs w:val="24"/>
        </w:rPr>
        <w:t>ease burden have led to increased deployment of medical devices. In line with EU regulations, the Maltese health system continues to emphasize safety, efficacy, and quality in the procurement and utilization of medical technologies.</w:t>
      </w:r>
    </w:p>
    <w:p w:rsidR="003C6FE9" w:rsidRDefault="003C6FE9">
      <w:pPr>
        <w:spacing w:after="0" w:line="360" w:lineRule="auto"/>
        <w:rPr>
          <w:rFonts w:ascii="Times New Roman" w:eastAsia="Times New Roman" w:hAnsi="Times New Roman" w:cs="Times New Roman"/>
          <w:sz w:val="24"/>
          <w:szCs w:val="24"/>
        </w:rPr>
      </w:pP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59264" behindDoc="1" locked="0" layoutInCell="1" hidden="0" allowOverlap="1">
            <wp:simplePos x="0" y="0"/>
            <wp:positionH relativeFrom="page">
              <wp:posOffset>-91439</wp:posOffset>
            </wp:positionH>
            <wp:positionV relativeFrom="page">
              <wp:posOffset>-76199</wp:posOffset>
            </wp:positionV>
            <wp:extent cx="10233025" cy="14450060"/>
            <wp:effectExtent l="0" t="0" r="0" b="0"/>
            <wp:wrapNone/>
            <wp:docPr id="9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Malta medical devices</w:t>
      </w:r>
      <w:r>
        <w:rPr>
          <w:rFonts w:ascii="Times New Roman" w:eastAsia="Times New Roman" w:hAnsi="Times New Roman" w:cs="Times New Roman"/>
          <w:b/>
          <w:sz w:val="24"/>
          <w:szCs w:val="24"/>
        </w:rPr>
        <w:t xml:space="preserve"> Market Overview</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Malta integrates more digital solutions into healthcare, including telemedicine and electronic health records (EHR), there is an uptick in demand for interoperable and smart medical devices. This shift is supported by EU-funded infrastr</w:t>
      </w:r>
      <w:r>
        <w:rPr>
          <w:rFonts w:ascii="Times New Roman" w:eastAsia="Times New Roman" w:hAnsi="Times New Roman" w:cs="Times New Roman"/>
          <w:sz w:val="24"/>
          <w:szCs w:val="24"/>
        </w:rPr>
        <w:t xml:space="preserve">ucture improvements and local policies encouraging health technology </w:t>
      </w:r>
      <w:proofErr w:type="spellStart"/>
      <w:r>
        <w:rPr>
          <w:rFonts w:ascii="Times New Roman" w:eastAsia="Times New Roman" w:hAnsi="Times New Roman" w:cs="Times New Roman"/>
          <w:sz w:val="24"/>
          <w:szCs w:val="24"/>
        </w:rPr>
        <w:t>innovation.Imports</w:t>
      </w:r>
      <w:proofErr w:type="spellEnd"/>
      <w:r>
        <w:rPr>
          <w:rFonts w:ascii="Times New Roman" w:eastAsia="Times New Roman" w:hAnsi="Times New Roman" w:cs="Times New Roman"/>
          <w:sz w:val="24"/>
          <w:szCs w:val="24"/>
        </w:rPr>
        <w:t xml:space="preserve"> dominate the Maltese market as local manufacturing is limited. Therefore, global players benefit from partnerships with domestic distributors and participation in publi</w:t>
      </w:r>
      <w:r>
        <w:rPr>
          <w:rFonts w:ascii="Times New Roman" w:eastAsia="Times New Roman" w:hAnsi="Times New Roman" w:cs="Times New Roman"/>
          <w:sz w:val="24"/>
          <w:szCs w:val="24"/>
        </w:rPr>
        <w:t>c tenders. Devices that meet both performance standards and affordability are favored, particularly in the public hospital segment.</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Malta presents a growing yet regulated medical devices landscape where companies offering technologically advanced,</w:t>
      </w:r>
      <w:r>
        <w:rPr>
          <w:rFonts w:ascii="Times New Roman" w:eastAsia="Times New Roman" w:hAnsi="Times New Roman" w:cs="Times New Roman"/>
          <w:sz w:val="24"/>
          <w:szCs w:val="24"/>
        </w:rPr>
        <w:t xml:space="preserve"> cost-efficient, and compliant products are best positioned for success.</w:t>
      </w:r>
    </w:p>
    <w:p w:rsidR="003C6FE9" w:rsidRDefault="003C6FE9">
      <w:pPr>
        <w:spacing w:after="0" w:line="360" w:lineRule="auto"/>
        <w:rPr>
          <w:rFonts w:ascii="Times New Roman" w:eastAsia="Times New Roman" w:hAnsi="Times New Roman" w:cs="Times New Roman"/>
          <w:sz w:val="24"/>
          <w:szCs w:val="24"/>
        </w:rPr>
      </w:pP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Segment Analysis</w:t>
      </w: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Device Type</w:t>
      </w:r>
    </w:p>
    <w:p w:rsidR="003C6FE9" w:rsidRDefault="00DB750B">
      <w:pPr>
        <w:numPr>
          <w:ilvl w:val="0"/>
          <w:numId w:val="1"/>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Diagnostic Imaging Devices</w:t>
      </w:r>
    </w:p>
    <w:p w:rsidR="003C6FE9" w:rsidRDefault="00DB750B">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 Devices</w:t>
      </w:r>
    </w:p>
    <w:p w:rsidR="003C6FE9" w:rsidRDefault="00DB750B">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Surgical Devices</w:t>
      </w:r>
    </w:p>
    <w:p w:rsidR="003C6FE9" w:rsidRDefault="00DB750B">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 Monitoring Devices</w:t>
      </w:r>
    </w:p>
    <w:p w:rsidR="003C6FE9" w:rsidRDefault="00DB750B">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Orthopedic Devices</w:t>
      </w:r>
    </w:p>
    <w:p w:rsidR="003C6FE9" w:rsidRDefault="00DB750B">
      <w:pPr>
        <w:numPr>
          <w:ilvl w:val="0"/>
          <w:numId w:val="1"/>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Consumables &amp; Disposables</w:t>
      </w: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End </w:t>
      </w:r>
      <w:r>
        <w:rPr>
          <w:rFonts w:ascii="Times New Roman" w:eastAsia="Times New Roman" w:hAnsi="Times New Roman" w:cs="Times New Roman"/>
          <w:b/>
          <w:sz w:val="24"/>
          <w:szCs w:val="24"/>
        </w:rPr>
        <w:t>User</w:t>
      </w:r>
    </w:p>
    <w:p w:rsidR="003C6FE9" w:rsidRDefault="00DB750B">
      <w:pPr>
        <w:numPr>
          <w:ilvl w:val="0"/>
          <w:numId w:val="2"/>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 and Clinics</w:t>
      </w:r>
    </w:p>
    <w:p w:rsidR="003C6FE9" w:rsidRDefault="00DB750B">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Ambulatory Surgical Centers</w:t>
      </w:r>
    </w:p>
    <w:p w:rsidR="003C6FE9" w:rsidRDefault="00DB750B">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Centers</w:t>
      </w:r>
    </w:p>
    <w:p w:rsidR="003C6FE9" w:rsidRDefault="00DB750B">
      <w:pPr>
        <w:numPr>
          <w:ilvl w:val="0"/>
          <w:numId w:val="2"/>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Healthcare</w:t>
      </w:r>
    </w:p>
    <w:p w:rsidR="003C6FE9" w:rsidRDefault="00DB750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0288" behindDoc="1" locked="0" layoutInCell="1" hidden="0" allowOverlap="1">
            <wp:simplePos x="0" y="0"/>
            <wp:positionH relativeFrom="page">
              <wp:posOffset>-77469</wp:posOffset>
            </wp:positionH>
            <wp:positionV relativeFrom="page">
              <wp:posOffset>-34289</wp:posOffset>
            </wp:positionV>
            <wp:extent cx="10233025" cy="14450060"/>
            <wp:effectExtent l="0" t="0" r="0" b="0"/>
            <wp:wrapNone/>
            <wp:docPr id="9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Landscape</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Malta medical devices market is moderately fragmented, with strong representation from European and international manufacturers. Global firms collaborate with local importers and service providers to enhance accessibility and after-sales support.</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Pr>
          <w:rFonts w:ascii="Times New Roman" w:eastAsia="Times New Roman" w:hAnsi="Times New Roman" w:cs="Times New Roman"/>
          <w:sz w:val="24"/>
          <w:szCs w:val="24"/>
        </w:rPr>
        <w:t>ompetitive edge lies in CE-marked product compliance, innovation, pricing, and support services. Companies are increasingly offering bundled services, maintenance contracts, and integrated systems compatible with Malta’s digital health infrastructure.</w:t>
      </w:r>
    </w:p>
    <w:p w:rsidR="003C6FE9" w:rsidRDefault="003C6FE9">
      <w:pPr>
        <w:spacing w:after="0" w:line="360" w:lineRule="auto"/>
        <w:rPr>
          <w:rFonts w:ascii="Times New Roman" w:eastAsia="Times New Roman" w:hAnsi="Times New Roman" w:cs="Times New Roman"/>
          <w:sz w:val="24"/>
          <w:szCs w:val="24"/>
        </w:rPr>
      </w:pP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r>
        <w:rPr>
          <w:rFonts w:ascii="Times New Roman" w:eastAsia="Times New Roman" w:hAnsi="Times New Roman" w:cs="Times New Roman"/>
          <w:b/>
          <w:sz w:val="24"/>
          <w:szCs w:val="24"/>
        </w:rPr>
        <w:t xml:space="preserve"> Profiles of Malta medical devices market</w:t>
      </w:r>
    </w:p>
    <w:p w:rsidR="003C6FE9" w:rsidRDefault="00DB750B">
      <w:pPr>
        <w:numPr>
          <w:ilvl w:val="0"/>
          <w:numId w:val="3"/>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Medtronic plc</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Siemens </w:t>
      </w:r>
      <w:proofErr w:type="spellStart"/>
      <w:r>
        <w:rPr>
          <w:rFonts w:ascii="Times New Roman" w:eastAsia="Times New Roman" w:hAnsi="Times New Roman" w:cs="Times New Roman"/>
          <w:sz w:val="24"/>
          <w:szCs w:val="24"/>
        </w:rPr>
        <w:t>Healthineers</w:t>
      </w:r>
      <w:proofErr w:type="spellEnd"/>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 HealthCare</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Philips Healthcare</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&amp; Johnson</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Stryker Corporation</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Braun </w:t>
      </w:r>
      <w:proofErr w:type="spellStart"/>
      <w:r>
        <w:rPr>
          <w:rFonts w:ascii="Times New Roman" w:eastAsia="Times New Roman" w:hAnsi="Times New Roman" w:cs="Times New Roman"/>
          <w:sz w:val="24"/>
          <w:szCs w:val="24"/>
        </w:rPr>
        <w:t>Melsungen</w:t>
      </w:r>
      <w:proofErr w:type="spellEnd"/>
      <w:r>
        <w:rPr>
          <w:rFonts w:ascii="Times New Roman" w:eastAsia="Times New Roman" w:hAnsi="Times New Roman" w:cs="Times New Roman"/>
          <w:sz w:val="24"/>
          <w:szCs w:val="24"/>
        </w:rPr>
        <w:t xml:space="preserve"> AG</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Scientific Corporation</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Abbott Laboratories</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Zimmer Biomet</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Canon Medical Systems</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Smith &amp; Nephew plc</w:t>
      </w:r>
    </w:p>
    <w:p w:rsidR="003C6FE9" w:rsidRDefault="00DB750B">
      <w:pPr>
        <w:numPr>
          <w:ilvl w:val="0"/>
          <w:numId w:val="3"/>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Drägerwerk</w:t>
      </w:r>
      <w:proofErr w:type="spellEnd"/>
      <w:r>
        <w:rPr>
          <w:rFonts w:ascii="Times New Roman" w:eastAsia="Times New Roman" w:hAnsi="Times New Roman" w:cs="Times New Roman"/>
          <w:sz w:val="24"/>
          <w:szCs w:val="24"/>
        </w:rPr>
        <w:t xml:space="preserve"> AG &amp; Co. </w:t>
      </w:r>
      <w:proofErr w:type="spellStart"/>
      <w:r>
        <w:rPr>
          <w:rFonts w:ascii="Times New Roman" w:eastAsia="Times New Roman" w:hAnsi="Times New Roman" w:cs="Times New Roman"/>
          <w:sz w:val="24"/>
          <w:szCs w:val="24"/>
        </w:rPr>
        <w:t>KGaA</w:t>
      </w:r>
      <w:proofErr w:type="spellEnd"/>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Olympus Corporation</w:t>
      </w:r>
    </w:p>
    <w:p w:rsidR="003C6FE9" w:rsidRDefault="00DB750B">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Baxter International Inc.</w:t>
      </w:r>
    </w:p>
    <w:p w:rsidR="003C6FE9" w:rsidRDefault="00DB750B">
      <w:pPr>
        <w:numPr>
          <w:ilvl w:val="0"/>
          <w:numId w:val="3"/>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Roche Diagnostics</w:t>
      </w:r>
    </w:p>
    <w:p w:rsidR="003C6FE9" w:rsidRDefault="00DB750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1312" behindDoc="1" locked="0" layoutInCell="1" hidden="0" allowOverlap="1">
            <wp:simplePos x="0" y="0"/>
            <wp:positionH relativeFrom="page">
              <wp:posOffset>-91439</wp:posOffset>
            </wp:positionH>
            <wp:positionV relativeFrom="page">
              <wp:posOffset>-55243</wp:posOffset>
            </wp:positionV>
            <wp:extent cx="10233025" cy="14450060"/>
            <wp:effectExtent l="0" t="0" r="0" b="0"/>
            <wp:wrapNone/>
            <wp:docPr id="9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Developments</w:t>
      </w:r>
    </w:p>
    <w:p w:rsidR="003C6FE9" w:rsidRDefault="00DB750B">
      <w:pPr>
        <w:numPr>
          <w:ilvl w:val="0"/>
          <w:numId w:val="4"/>
        </w:numPr>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On April 13</w:t>
      </w:r>
      <w:r>
        <w:rPr>
          <w:rFonts w:ascii="Times New Roman" w:eastAsia="Times New Roman" w:hAnsi="Times New Roman" w:cs="Times New Roman"/>
          <w:sz w:val="24"/>
          <w:szCs w:val="24"/>
        </w:rPr>
        <w:t>, 2025, EVE Healthcare in Malta, New York, reaffirmed its role as a trusted provider of comprehensive radiology servic</w:t>
      </w:r>
      <w:r>
        <w:rPr>
          <w:rFonts w:ascii="Times New Roman" w:eastAsia="Times New Roman" w:hAnsi="Times New Roman" w:cs="Times New Roman"/>
          <w:sz w:val="24"/>
          <w:szCs w:val="24"/>
        </w:rPr>
        <w:t>es. Offering MRI, CT Scan, PET CT, and Ultrasound under one roof, the center ensures timely, accurate diagnostics essential for high-quality patient care in a fast-paced healthcare environment.</w:t>
      </w:r>
    </w:p>
    <w:p w:rsidR="003C6FE9" w:rsidRDefault="00DB750B">
      <w:pPr>
        <w:numPr>
          <w:ilvl w:val="0"/>
          <w:numId w:val="4"/>
        </w:numPr>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In 2024</w:t>
      </w:r>
      <w:r>
        <w:rPr>
          <w:rFonts w:ascii="Times New Roman" w:eastAsia="Times New Roman" w:hAnsi="Times New Roman" w:cs="Times New Roman"/>
          <w:sz w:val="24"/>
          <w:szCs w:val="24"/>
        </w:rPr>
        <w:t>, LifeScan.mt opened a new medical and radiology clinic</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Naxxar</w:t>
      </w:r>
      <w:proofErr w:type="spellEnd"/>
      <w:r>
        <w:rPr>
          <w:rFonts w:ascii="Times New Roman" w:eastAsia="Times New Roman" w:hAnsi="Times New Roman" w:cs="Times New Roman"/>
          <w:sz w:val="24"/>
          <w:szCs w:val="24"/>
        </w:rPr>
        <w:t>, offering high-quality services including Digital X-Ray, Ultrasound, 3D Mammogram, and DEXA bone density scans—all available on-site for convenient, comprehensive care.</w:t>
      </w:r>
    </w:p>
    <w:p w:rsidR="003C6FE9" w:rsidRDefault="003C6FE9">
      <w:pPr>
        <w:spacing w:after="0" w:line="360" w:lineRule="auto"/>
        <w:rPr>
          <w:rFonts w:ascii="Times New Roman" w:eastAsia="Times New Roman" w:hAnsi="Times New Roman" w:cs="Times New Roman"/>
          <w:sz w:val="24"/>
          <w:szCs w:val="24"/>
        </w:rPr>
      </w:pP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Attractiveness</w:t>
      </w:r>
    </w:p>
    <w:p w:rsidR="003C6FE9" w:rsidRDefault="00DB750B">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Malta offers a stable and growing medical devices mar</w:t>
      </w:r>
      <w:r>
        <w:rPr>
          <w:rFonts w:ascii="Times New Roman" w:eastAsia="Times New Roman" w:hAnsi="Times New Roman" w:cs="Times New Roman"/>
          <w:sz w:val="24"/>
          <w:szCs w:val="24"/>
        </w:rPr>
        <w:t>ket due to its universal healthcare system, alignment with EU regulatory frameworks, and increasing demand for technologically advanced care solutions. The country’s healthcare digitization roadmap and investment in hospital infrastructure present opportun</w:t>
      </w:r>
      <w:r>
        <w:rPr>
          <w:rFonts w:ascii="Times New Roman" w:eastAsia="Times New Roman" w:hAnsi="Times New Roman" w:cs="Times New Roman"/>
          <w:sz w:val="24"/>
          <w:szCs w:val="24"/>
        </w:rPr>
        <w:t>ities for innovative device providers.</w:t>
      </w:r>
    </w:p>
    <w:p w:rsidR="003C6FE9" w:rsidRDefault="003C6FE9">
      <w:pPr>
        <w:spacing w:after="0" w:line="360" w:lineRule="auto"/>
        <w:rPr>
          <w:rFonts w:ascii="Times New Roman" w:eastAsia="Times New Roman" w:hAnsi="Times New Roman" w:cs="Times New Roman"/>
          <w:sz w:val="24"/>
          <w:szCs w:val="24"/>
        </w:rPr>
      </w:pP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Porter’s Five Forces Analysis</w:t>
      </w:r>
    </w:p>
    <w:p w:rsidR="003C6FE9" w:rsidRDefault="00DB750B">
      <w:pPr>
        <w:numPr>
          <w:ilvl w:val="0"/>
          <w:numId w:val="5"/>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New Entrants:</w:t>
      </w:r>
      <w:r>
        <w:rPr>
          <w:rFonts w:ascii="Times New Roman" w:eastAsia="Times New Roman" w:hAnsi="Times New Roman" w:cs="Times New Roman"/>
          <w:sz w:val="24"/>
          <w:szCs w:val="24"/>
        </w:rPr>
        <w:t xml:space="preserve"> Moderate – Regulatory requirements and reliance on imports limit new local entries.</w:t>
      </w:r>
    </w:p>
    <w:p w:rsidR="003C6FE9" w:rsidRDefault="00DB750B">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Suppliers:</w:t>
      </w:r>
      <w:r>
        <w:rPr>
          <w:rFonts w:ascii="Times New Roman" w:eastAsia="Times New Roman" w:hAnsi="Times New Roman" w:cs="Times New Roman"/>
          <w:sz w:val="24"/>
          <w:szCs w:val="24"/>
        </w:rPr>
        <w:t xml:space="preserve"> Moderate – High-quality and specialized technologies limit supplier options.</w:t>
      </w:r>
    </w:p>
    <w:p w:rsidR="003C6FE9" w:rsidRDefault="00DB750B">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Buyers:</w:t>
      </w:r>
      <w:r>
        <w:rPr>
          <w:rFonts w:ascii="Times New Roman" w:eastAsia="Times New Roman" w:hAnsi="Times New Roman" w:cs="Times New Roman"/>
          <w:sz w:val="24"/>
          <w:szCs w:val="24"/>
        </w:rPr>
        <w:t xml:space="preserve"> High – Public procurement and pricing pressures shape supplier strategies.</w:t>
      </w:r>
    </w:p>
    <w:p w:rsidR="003C6FE9" w:rsidRDefault="00DB750B">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Substitutes:</w:t>
      </w:r>
      <w:r>
        <w:rPr>
          <w:rFonts w:ascii="Times New Roman" w:eastAsia="Times New Roman" w:hAnsi="Times New Roman" w:cs="Times New Roman"/>
          <w:sz w:val="24"/>
          <w:szCs w:val="24"/>
        </w:rPr>
        <w:t xml:space="preserve"> Low – Advanced medical devices have few effective su</w:t>
      </w:r>
      <w:r>
        <w:rPr>
          <w:rFonts w:ascii="Times New Roman" w:eastAsia="Times New Roman" w:hAnsi="Times New Roman" w:cs="Times New Roman"/>
          <w:sz w:val="24"/>
          <w:szCs w:val="24"/>
        </w:rPr>
        <w:t>bstitutes.</w:t>
      </w:r>
    </w:p>
    <w:p w:rsidR="003C6FE9" w:rsidRDefault="00DB750B">
      <w:pPr>
        <w:numPr>
          <w:ilvl w:val="0"/>
          <w:numId w:val="5"/>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Rivalry:</w:t>
      </w:r>
      <w:r>
        <w:rPr>
          <w:rFonts w:ascii="Times New Roman" w:eastAsia="Times New Roman" w:hAnsi="Times New Roman" w:cs="Times New Roman"/>
          <w:sz w:val="24"/>
          <w:szCs w:val="24"/>
        </w:rPr>
        <w:t xml:space="preserve"> High – Multiple global players compete in a price- and innovation-sensitive market.</w:t>
      </w:r>
    </w:p>
    <w:p w:rsidR="003C6FE9" w:rsidRDefault="00DB750B">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62336" behindDoc="1" locked="0" layoutInCell="1" hidden="0" allowOverlap="1">
            <wp:simplePos x="0" y="0"/>
            <wp:positionH relativeFrom="page">
              <wp:posOffset>-29208</wp:posOffset>
            </wp:positionH>
            <wp:positionV relativeFrom="page">
              <wp:posOffset>0</wp:posOffset>
            </wp:positionV>
            <wp:extent cx="10233025" cy="14450060"/>
            <wp:effectExtent l="0" t="0" r="0" b="0"/>
            <wp:wrapNone/>
            <wp:docPr id="9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Table of Contents</w:t>
      </w:r>
    </w:p>
    <w:p w:rsidR="003C6FE9" w:rsidRDefault="00DB750B">
      <w:pPr>
        <w:numPr>
          <w:ilvl w:val="0"/>
          <w:numId w:val="6"/>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of Malta Medical Devices Market</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Overview of the Market</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of Report</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Assumptions</w:t>
      </w:r>
    </w:p>
    <w:p w:rsidR="003C6FE9" w:rsidRDefault="00DB750B">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p>
    <w:p w:rsidR="003C6FE9" w:rsidRDefault="00DB750B">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Methodology</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Data Mining</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Validation</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Primary Interviews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List of Data Sources</w:t>
      </w:r>
    </w:p>
    <w:p w:rsidR="003C6FE9" w:rsidRDefault="00DB750B">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Malta Medical Devices Market Outlook</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 Market Definition</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Market Overview</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Porter’s Five Forces Model</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Value Chain Analysis</w:t>
      </w:r>
    </w:p>
    <w:p w:rsidR="003C6FE9" w:rsidRDefault="00DB750B">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w:t>
      </w:r>
      <w:r>
        <w:rPr>
          <w:rFonts w:ascii="Times New Roman" w:eastAsia="Times New Roman" w:hAnsi="Times New Roman" w:cs="Times New Roman"/>
          <w:b/>
          <w:sz w:val="24"/>
          <w:szCs w:val="24"/>
        </w:rPr>
        <w:t>ket, by Device Type</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Diagnostic Imaging Devices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Therapeutic Devices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Surgical Devices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Patient Monitoring Devices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Orthopedic Devices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 Consumables &amp; Disposables</w:t>
      </w:r>
    </w:p>
    <w:p w:rsidR="003C6FE9" w:rsidRDefault="00DB750B">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by End User</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Hospitals and Clinics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Ambulatory Surgical Centers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Diagnostic Centers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 Home Healthcare</w:t>
      </w:r>
    </w:p>
    <w:p w:rsidR="003C6FE9" w:rsidRDefault="00DB750B">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Landscape</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Overview</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3360" behindDoc="1" locked="0" layoutInCell="1" hidden="0" allowOverlap="1">
            <wp:simplePos x="0" y="0"/>
            <wp:positionH relativeFrom="page">
              <wp:posOffset>-161058</wp:posOffset>
            </wp:positionH>
            <wp:positionV relativeFrom="page">
              <wp:posOffset>0</wp:posOffset>
            </wp:positionV>
            <wp:extent cx="10233313" cy="14450291"/>
            <wp:effectExtent l="0" t="0" r="0" b="0"/>
            <wp:wrapNone/>
            <wp:docPr id="9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313" cy="14450291"/>
                    </a:xfrm>
                    <a:prstGeom prst="rect">
                      <a:avLst/>
                    </a:prstGeom>
                    <a:ln/>
                  </pic:spPr>
                </pic:pic>
              </a:graphicData>
            </a:graphic>
          </wp:anchor>
        </w:drawing>
      </w:r>
      <w:r>
        <w:rPr>
          <w:rFonts w:ascii="Times New Roman" w:eastAsia="Times New Roman" w:hAnsi="Times New Roman" w:cs="Times New Roman"/>
          <w:sz w:val="24"/>
          <w:szCs w:val="24"/>
        </w:rPr>
        <w:t>7.2 Company Market Ranking</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Key Development Strategies</w:t>
      </w:r>
    </w:p>
    <w:p w:rsidR="003C6FE9" w:rsidRDefault="00DB750B">
      <w:pPr>
        <w:numPr>
          <w:ilvl w:val="0"/>
          <w:numId w:val="6"/>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Profiles</w:t>
      </w:r>
    </w:p>
    <w:p w:rsidR="003C6FE9" w:rsidRDefault="00DB750B">
      <w:pPr>
        <w:pBdr>
          <w:top w:val="nil"/>
          <w:left w:val="nil"/>
          <w:bottom w:val="nil"/>
          <w:right w:val="nil"/>
          <w:between w:val="nil"/>
        </w:pBdr>
        <w:spacing w:before="28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 Medtronic plc</w:t>
      </w:r>
      <w:r>
        <w:rPr>
          <w:rFonts w:ascii="Times New Roman" w:eastAsia="Times New Roman" w:hAnsi="Times New Roman" w:cs="Times New Roman"/>
          <w:color w:val="000000"/>
          <w:sz w:val="24"/>
          <w:szCs w:val="24"/>
        </w:rPr>
        <w:br/>
        <w:t>8.1.1 Overview</w:t>
      </w:r>
      <w:r>
        <w:rPr>
          <w:rFonts w:ascii="Times New Roman" w:eastAsia="Times New Roman" w:hAnsi="Times New Roman" w:cs="Times New Roman"/>
          <w:color w:val="000000"/>
          <w:sz w:val="24"/>
          <w:szCs w:val="24"/>
        </w:rPr>
        <w:br/>
        <w:t>8.1.2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8.1.3 Product Outlook</w:t>
      </w:r>
      <w:r>
        <w:rPr>
          <w:rFonts w:ascii="Times New Roman" w:eastAsia="Times New Roman" w:hAnsi="Times New Roman" w:cs="Times New Roman"/>
          <w:color w:val="000000"/>
          <w:sz w:val="24"/>
          <w:szCs w:val="24"/>
        </w:rPr>
        <w:br/>
        <w:t>8.1.4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8.2 Siemens </w:t>
      </w:r>
      <w:proofErr w:type="spellStart"/>
      <w:r>
        <w:rPr>
          <w:rFonts w:ascii="Times New Roman" w:eastAsia="Times New Roman" w:hAnsi="Times New Roman" w:cs="Times New Roman"/>
          <w:b/>
          <w:color w:val="000000"/>
          <w:sz w:val="24"/>
          <w:szCs w:val="24"/>
        </w:rPr>
        <w:t>Healthineers</w:t>
      </w:r>
      <w:proofErr w:type="spellEnd"/>
      <w:r>
        <w:rPr>
          <w:rFonts w:ascii="Times New Roman" w:eastAsia="Times New Roman" w:hAnsi="Times New Roman" w:cs="Times New Roman"/>
          <w:color w:val="000000"/>
          <w:sz w:val="24"/>
          <w:szCs w:val="24"/>
        </w:rPr>
        <w:br/>
        <w:t>8.2.1 Overview</w:t>
      </w:r>
      <w:r>
        <w:rPr>
          <w:rFonts w:ascii="Times New Roman" w:eastAsia="Times New Roman" w:hAnsi="Times New Roman" w:cs="Times New Roman"/>
          <w:color w:val="000000"/>
          <w:sz w:val="24"/>
          <w:szCs w:val="24"/>
        </w:rPr>
        <w:br/>
        <w:t>8.2.2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8.2.3 Product Outlook</w:t>
      </w:r>
      <w:r>
        <w:rPr>
          <w:rFonts w:ascii="Times New Roman" w:eastAsia="Times New Roman" w:hAnsi="Times New Roman" w:cs="Times New Roman"/>
          <w:color w:val="000000"/>
          <w:sz w:val="24"/>
          <w:szCs w:val="24"/>
        </w:rPr>
        <w:br/>
        <w:t>8.2.4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8.3 GE HealthCare</w:t>
      </w:r>
      <w:r>
        <w:rPr>
          <w:rFonts w:ascii="Times New Roman" w:eastAsia="Times New Roman" w:hAnsi="Times New Roman" w:cs="Times New Roman"/>
          <w:color w:val="000000"/>
          <w:sz w:val="24"/>
          <w:szCs w:val="24"/>
        </w:rPr>
        <w:br/>
        <w:t>8.3.1 Overview</w:t>
      </w:r>
      <w:r>
        <w:rPr>
          <w:rFonts w:ascii="Times New Roman" w:eastAsia="Times New Roman" w:hAnsi="Times New Roman" w:cs="Times New Roman"/>
          <w:color w:val="000000"/>
          <w:sz w:val="24"/>
          <w:szCs w:val="24"/>
        </w:rPr>
        <w:br/>
        <w:t>8.3.2 Financial Performance</w:t>
      </w:r>
      <w:r>
        <w:rPr>
          <w:rFonts w:ascii="Times New Roman" w:eastAsia="Times New Roman" w:hAnsi="Times New Roman" w:cs="Times New Roman"/>
          <w:color w:val="000000"/>
          <w:sz w:val="24"/>
          <w:szCs w:val="24"/>
        </w:rPr>
        <w:br/>
        <w:t>8.3.3 Product Outlook</w:t>
      </w:r>
      <w:r>
        <w:rPr>
          <w:rFonts w:ascii="Times New Roman" w:eastAsia="Times New Roman" w:hAnsi="Times New Roman" w:cs="Times New Roman"/>
          <w:color w:val="000000"/>
          <w:sz w:val="24"/>
          <w:szCs w:val="24"/>
        </w:rPr>
        <w:br/>
        <w:t>8.3.4 Key Devel</w:t>
      </w:r>
      <w:r>
        <w:rPr>
          <w:rFonts w:ascii="Times New Roman" w:eastAsia="Times New Roman" w:hAnsi="Times New Roman" w:cs="Times New Roman"/>
          <w:color w:val="000000"/>
          <w:sz w:val="24"/>
          <w:szCs w:val="24"/>
        </w:rPr>
        <w:t>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8.4 Philips Healthcare</w:t>
      </w:r>
      <w:r>
        <w:rPr>
          <w:rFonts w:ascii="Times New Roman" w:eastAsia="Times New Roman" w:hAnsi="Times New Roman" w:cs="Times New Roman"/>
          <w:color w:val="000000"/>
          <w:sz w:val="24"/>
          <w:szCs w:val="24"/>
        </w:rPr>
        <w:br/>
        <w:t>8.4.1 Overview</w:t>
      </w:r>
      <w:r>
        <w:rPr>
          <w:rFonts w:ascii="Times New Roman" w:eastAsia="Times New Roman" w:hAnsi="Times New Roman" w:cs="Times New Roman"/>
          <w:color w:val="000000"/>
          <w:sz w:val="24"/>
          <w:szCs w:val="24"/>
        </w:rPr>
        <w:br/>
        <w:t>8.4.2 Financial Performance</w:t>
      </w:r>
      <w:r>
        <w:rPr>
          <w:rFonts w:ascii="Times New Roman" w:eastAsia="Times New Roman" w:hAnsi="Times New Roman" w:cs="Times New Roman"/>
          <w:color w:val="000000"/>
          <w:sz w:val="24"/>
          <w:szCs w:val="24"/>
        </w:rPr>
        <w:br/>
        <w:t>8.4.3 Product Outlook</w:t>
      </w:r>
      <w:r>
        <w:rPr>
          <w:rFonts w:ascii="Times New Roman" w:eastAsia="Times New Roman" w:hAnsi="Times New Roman" w:cs="Times New Roman"/>
          <w:color w:val="000000"/>
          <w:sz w:val="24"/>
          <w:szCs w:val="24"/>
        </w:rPr>
        <w:br/>
        <w:t>8.4.4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8.5 Johnson &amp; Johnson</w:t>
      </w:r>
      <w:r>
        <w:rPr>
          <w:rFonts w:ascii="Times New Roman" w:eastAsia="Times New Roman" w:hAnsi="Times New Roman" w:cs="Times New Roman"/>
          <w:color w:val="000000"/>
          <w:sz w:val="24"/>
          <w:szCs w:val="24"/>
        </w:rPr>
        <w:br/>
        <w:t>8.5.1 Overview</w:t>
      </w:r>
      <w:r>
        <w:rPr>
          <w:rFonts w:ascii="Times New Roman" w:eastAsia="Times New Roman" w:hAnsi="Times New Roman" w:cs="Times New Roman"/>
          <w:color w:val="000000"/>
          <w:sz w:val="24"/>
          <w:szCs w:val="24"/>
        </w:rPr>
        <w:br/>
        <w:t>8.5.2 Financial Performance</w:t>
      </w:r>
      <w:r>
        <w:rPr>
          <w:rFonts w:ascii="Times New Roman" w:eastAsia="Times New Roman" w:hAnsi="Times New Roman" w:cs="Times New Roman"/>
          <w:color w:val="000000"/>
          <w:sz w:val="24"/>
          <w:szCs w:val="24"/>
        </w:rPr>
        <w:br/>
        <w:t>8.5.3 Product Outlook</w:t>
      </w:r>
      <w:r>
        <w:rPr>
          <w:rFonts w:ascii="Times New Roman" w:eastAsia="Times New Roman" w:hAnsi="Times New Roman" w:cs="Times New Roman"/>
          <w:color w:val="000000"/>
          <w:sz w:val="24"/>
          <w:szCs w:val="24"/>
        </w:rPr>
        <w:br/>
        <w:t>8.5.4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8.6 Stryker Corporation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8.6.1 Overview</w:t>
      </w:r>
      <w:r>
        <w:rPr>
          <w:rFonts w:ascii="Times New Roman" w:eastAsia="Times New Roman" w:hAnsi="Times New Roman" w:cs="Times New Roman"/>
          <w:color w:val="000000"/>
          <w:sz w:val="24"/>
          <w:szCs w:val="24"/>
        </w:rPr>
        <w:br/>
        <w:t>8.6.2 Financial Performance</w:t>
      </w:r>
      <w:r>
        <w:rPr>
          <w:rFonts w:ascii="Times New Roman" w:eastAsia="Times New Roman" w:hAnsi="Times New Roman" w:cs="Times New Roman"/>
          <w:color w:val="000000"/>
          <w:sz w:val="24"/>
          <w:szCs w:val="24"/>
        </w:rPr>
        <w:br/>
        <w:t>8.6.3 Product Outlook</w:t>
      </w:r>
      <w:r>
        <w:rPr>
          <w:rFonts w:ascii="Times New Roman" w:eastAsia="Times New Roman" w:hAnsi="Times New Roman" w:cs="Times New Roman"/>
          <w:color w:val="000000"/>
          <w:sz w:val="24"/>
          <w:szCs w:val="24"/>
        </w:rPr>
        <w:br/>
        <w:t>8.6.4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4384" behindDoc="1" locked="0" layoutInCell="1" hidden="0" allowOverlap="1">
            <wp:simplePos x="0" y="0"/>
            <wp:positionH relativeFrom="page">
              <wp:posOffset>-50164</wp:posOffset>
            </wp:positionH>
            <wp:positionV relativeFrom="page">
              <wp:posOffset>0</wp:posOffset>
            </wp:positionV>
            <wp:extent cx="10233025" cy="14450060"/>
            <wp:effectExtent l="0" t="0" r="0" b="0"/>
            <wp:wrapNone/>
            <wp:docPr id="9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8.7 B. Braun </w:t>
      </w:r>
      <w:proofErr w:type="spellStart"/>
      <w:r>
        <w:rPr>
          <w:rFonts w:ascii="Times New Roman" w:eastAsia="Times New Roman" w:hAnsi="Times New Roman" w:cs="Times New Roman"/>
          <w:b/>
          <w:color w:val="000000"/>
          <w:sz w:val="24"/>
          <w:szCs w:val="24"/>
        </w:rPr>
        <w:t>Melsungen</w:t>
      </w:r>
      <w:proofErr w:type="spellEnd"/>
      <w:r>
        <w:rPr>
          <w:rFonts w:ascii="Times New Roman" w:eastAsia="Times New Roman" w:hAnsi="Times New Roman" w:cs="Times New Roman"/>
          <w:b/>
          <w:color w:val="000000"/>
          <w:sz w:val="24"/>
          <w:szCs w:val="24"/>
        </w:rPr>
        <w:t xml:space="preserve"> AG</w:t>
      </w:r>
      <w:r>
        <w:rPr>
          <w:rFonts w:ascii="Times New Roman" w:eastAsia="Times New Roman" w:hAnsi="Times New Roman" w:cs="Times New Roman"/>
          <w:color w:val="000000"/>
          <w:sz w:val="24"/>
          <w:szCs w:val="24"/>
        </w:rPr>
        <w:br/>
        <w:t>8.7.1 Overview</w:t>
      </w:r>
      <w:r>
        <w:rPr>
          <w:rFonts w:ascii="Times New Roman" w:eastAsia="Times New Roman" w:hAnsi="Times New Roman" w:cs="Times New Roman"/>
          <w:color w:val="000000"/>
          <w:sz w:val="24"/>
          <w:szCs w:val="24"/>
        </w:rPr>
        <w:br/>
        <w:t>8.7.2 Financial Performance</w:t>
      </w:r>
      <w:r>
        <w:rPr>
          <w:rFonts w:ascii="Times New Roman" w:eastAsia="Times New Roman" w:hAnsi="Times New Roman" w:cs="Times New Roman"/>
          <w:color w:val="000000"/>
          <w:sz w:val="24"/>
          <w:szCs w:val="24"/>
        </w:rPr>
        <w:br/>
        <w:t>8.7.3 Product Outlook</w:t>
      </w:r>
      <w:r>
        <w:rPr>
          <w:rFonts w:ascii="Times New Roman" w:eastAsia="Times New Roman" w:hAnsi="Times New Roman" w:cs="Times New Roman"/>
          <w:color w:val="000000"/>
          <w:sz w:val="24"/>
          <w:szCs w:val="24"/>
        </w:rPr>
        <w:br/>
        <w:t>8.7.4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8.8 Boston Scientific Corporation</w:t>
      </w:r>
      <w:r>
        <w:rPr>
          <w:rFonts w:ascii="Times New Roman" w:eastAsia="Times New Roman" w:hAnsi="Times New Roman" w:cs="Times New Roman"/>
          <w:color w:val="000000"/>
          <w:sz w:val="24"/>
          <w:szCs w:val="24"/>
        </w:rPr>
        <w:br/>
        <w:t>8.8.1 Overview</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8.8.2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8.8.3 Product Outlook</w:t>
      </w:r>
      <w:r>
        <w:rPr>
          <w:rFonts w:ascii="Times New Roman" w:eastAsia="Times New Roman" w:hAnsi="Times New Roman" w:cs="Times New Roman"/>
          <w:color w:val="000000"/>
          <w:sz w:val="24"/>
          <w:szCs w:val="24"/>
        </w:rPr>
        <w:br/>
        <w:t>8.8.4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8.9 Abbott Laboratories</w:t>
      </w:r>
      <w:r>
        <w:rPr>
          <w:rFonts w:ascii="Times New Roman" w:eastAsia="Times New Roman" w:hAnsi="Times New Roman" w:cs="Times New Roman"/>
          <w:color w:val="000000"/>
          <w:sz w:val="24"/>
          <w:szCs w:val="24"/>
        </w:rPr>
        <w:br/>
        <w:t>8.9.1 Overview</w:t>
      </w:r>
      <w:r>
        <w:rPr>
          <w:rFonts w:ascii="Times New Roman" w:eastAsia="Times New Roman" w:hAnsi="Times New Roman" w:cs="Times New Roman"/>
          <w:color w:val="000000"/>
          <w:sz w:val="24"/>
          <w:szCs w:val="24"/>
        </w:rPr>
        <w:br/>
        <w:t>8.9.2 Financial Performance</w:t>
      </w:r>
      <w:r>
        <w:rPr>
          <w:rFonts w:ascii="Times New Roman" w:eastAsia="Times New Roman" w:hAnsi="Times New Roman" w:cs="Times New Roman"/>
          <w:color w:val="000000"/>
          <w:sz w:val="24"/>
          <w:szCs w:val="24"/>
        </w:rPr>
        <w:br/>
        <w:t>8.9.3 Product Outlook</w:t>
      </w:r>
      <w:r>
        <w:rPr>
          <w:rFonts w:ascii="Times New Roman" w:eastAsia="Times New Roman" w:hAnsi="Times New Roman" w:cs="Times New Roman"/>
          <w:color w:val="000000"/>
          <w:sz w:val="24"/>
          <w:szCs w:val="24"/>
        </w:rPr>
        <w:br/>
        <w:t>8.9.4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8.10 Zimmer Biomet</w:t>
      </w:r>
      <w:r>
        <w:rPr>
          <w:rFonts w:ascii="Times New Roman" w:eastAsia="Times New Roman" w:hAnsi="Times New Roman" w:cs="Times New Roman"/>
          <w:color w:val="000000"/>
          <w:sz w:val="24"/>
          <w:szCs w:val="24"/>
        </w:rPr>
        <w:br/>
        <w:t>8.10.1 Overview</w:t>
      </w:r>
      <w:r>
        <w:rPr>
          <w:rFonts w:ascii="Times New Roman" w:eastAsia="Times New Roman" w:hAnsi="Times New Roman" w:cs="Times New Roman"/>
          <w:color w:val="000000"/>
          <w:sz w:val="24"/>
          <w:szCs w:val="24"/>
        </w:rPr>
        <w:br/>
        <w:t>8.10.2 Financial Performance</w:t>
      </w:r>
      <w:r>
        <w:rPr>
          <w:rFonts w:ascii="Times New Roman" w:eastAsia="Times New Roman" w:hAnsi="Times New Roman" w:cs="Times New Roman"/>
          <w:color w:val="000000"/>
          <w:sz w:val="24"/>
          <w:szCs w:val="24"/>
        </w:rPr>
        <w:br/>
        <w:t xml:space="preserve">8.10.3 </w:t>
      </w:r>
      <w:r>
        <w:rPr>
          <w:rFonts w:ascii="Times New Roman" w:eastAsia="Times New Roman" w:hAnsi="Times New Roman" w:cs="Times New Roman"/>
          <w:color w:val="000000"/>
          <w:sz w:val="24"/>
          <w:szCs w:val="24"/>
        </w:rPr>
        <w:t>Product Outlook</w:t>
      </w:r>
      <w:r>
        <w:rPr>
          <w:rFonts w:ascii="Times New Roman" w:eastAsia="Times New Roman" w:hAnsi="Times New Roman" w:cs="Times New Roman"/>
          <w:color w:val="000000"/>
          <w:sz w:val="24"/>
          <w:szCs w:val="24"/>
        </w:rPr>
        <w:br/>
        <w:t>8.10.4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8.11 Canon Medical Systems</w:t>
      </w:r>
      <w:r>
        <w:rPr>
          <w:rFonts w:ascii="Times New Roman" w:eastAsia="Times New Roman" w:hAnsi="Times New Roman" w:cs="Times New Roman"/>
          <w:color w:val="000000"/>
          <w:sz w:val="24"/>
          <w:szCs w:val="24"/>
        </w:rPr>
        <w:br/>
        <w:t>8.11.1 Overview</w:t>
      </w:r>
      <w:r>
        <w:rPr>
          <w:rFonts w:ascii="Times New Roman" w:eastAsia="Times New Roman" w:hAnsi="Times New Roman" w:cs="Times New Roman"/>
          <w:color w:val="000000"/>
          <w:sz w:val="24"/>
          <w:szCs w:val="24"/>
        </w:rPr>
        <w:br/>
        <w:t>8.11.2 Financial Performance</w:t>
      </w:r>
      <w:r>
        <w:rPr>
          <w:rFonts w:ascii="Times New Roman" w:eastAsia="Times New Roman" w:hAnsi="Times New Roman" w:cs="Times New Roman"/>
          <w:color w:val="000000"/>
          <w:sz w:val="24"/>
          <w:szCs w:val="24"/>
        </w:rPr>
        <w:br/>
        <w:t>8.11.3 Product Outlook</w:t>
      </w:r>
      <w:r>
        <w:rPr>
          <w:rFonts w:ascii="Times New Roman" w:eastAsia="Times New Roman" w:hAnsi="Times New Roman" w:cs="Times New Roman"/>
          <w:color w:val="000000"/>
          <w:sz w:val="24"/>
          <w:szCs w:val="24"/>
        </w:rPr>
        <w:br/>
        <w:t>8.11.4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8.12 Smith &amp; Nephew plc</w:t>
      </w:r>
      <w:r>
        <w:rPr>
          <w:rFonts w:ascii="Times New Roman" w:eastAsia="Times New Roman" w:hAnsi="Times New Roman" w:cs="Times New Roman"/>
          <w:color w:val="000000"/>
          <w:sz w:val="24"/>
          <w:szCs w:val="24"/>
        </w:rPr>
        <w:br/>
        <w:t>8.12.1 Overview</w:t>
      </w:r>
      <w:r>
        <w:rPr>
          <w:rFonts w:ascii="Times New Roman" w:eastAsia="Times New Roman" w:hAnsi="Times New Roman" w:cs="Times New Roman"/>
          <w:color w:val="000000"/>
          <w:sz w:val="24"/>
          <w:szCs w:val="24"/>
        </w:rPr>
        <w:br/>
        <w:t>8.12.2 Financial Performance</w:t>
      </w:r>
      <w:r>
        <w:rPr>
          <w:rFonts w:ascii="Times New Roman" w:eastAsia="Times New Roman" w:hAnsi="Times New Roman" w:cs="Times New Roman"/>
          <w:color w:val="000000"/>
          <w:sz w:val="24"/>
          <w:szCs w:val="24"/>
        </w:rPr>
        <w:br/>
        <w:t>8.12.3 Product Outlook</w:t>
      </w:r>
      <w:r>
        <w:rPr>
          <w:rFonts w:ascii="Times New Roman" w:eastAsia="Times New Roman" w:hAnsi="Times New Roman" w:cs="Times New Roman"/>
          <w:color w:val="000000"/>
          <w:sz w:val="24"/>
          <w:szCs w:val="24"/>
        </w:rPr>
        <w:br/>
        <w:t>8.12.</w:t>
      </w:r>
      <w:r>
        <w:rPr>
          <w:rFonts w:ascii="Times New Roman" w:eastAsia="Times New Roman" w:hAnsi="Times New Roman" w:cs="Times New Roman"/>
          <w:color w:val="000000"/>
          <w:sz w:val="24"/>
          <w:szCs w:val="24"/>
        </w:rPr>
        <w:t>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5408" behindDoc="1" locked="0" layoutInCell="1" hidden="0" allowOverlap="1">
            <wp:simplePos x="0" y="0"/>
            <wp:positionH relativeFrom="page">
              <wp:posOffset>-29208</wp:posOffset>
            </wp:positionH>
            <wp:positionV relativeFrom="page">
              <wp:posOffset>0</wp:posOffset>
            </wp:positionV>
            <wp:extent cx="10233025" cy="14450060"/>
            <wp:effectExtent l="0" t="0" r="0" b="0"/>
            <wp:wrapNone/>
            <wp:docPr id="9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8.13 </w:t>
      </w:r>
      <w:proofErr w:type="spellStart"/>
      <w:r>
        <w:rPr>
          <w:rFonts w:ascii="Times New Roman" w:eastAsia="Times New Roman" w:hAnsi="Times New Roman" w:cs="Times New Roman"/>
          <w:b/>
          <w:color w:val="000000"/>
          <w:sz w:val="24"/>
          <w:szCs w:val="24"/>
        </w:rPr>
        <w:t>Drägerwerk</w:t>
      </w:r>
      <w:proofErr w:type="spellEnd"/>
      <w:r>
        <w:rPr>
          <w:rFonts w:ascii="Times New Roman" w:eastAsia="Times New Roman" w:hAnsi="Times New Roman" w:cs="Times New Roman"/>
          <w:b/>
          <w:color w:val="000000"/>
          <w:sz w:val="24"/>
          <w:szCs w:val="24"/>
        </w:rPr>
        <w:t xml:space="preserve"> AG &amp; Co. </w:t>
      </w:r>
      <w:proofErr w:type="spellStart"/>
      <w:r>
        <w:rPr>
          <w:rFonts w:ascii="Times New Roman" w:eastAsia="Times New Roman" w:hAnsi="Times New Roman" w:cs="Times New Roman"/>
          <w:b/>
          <w:color w:val="000000"/>
          <w:sz w:val="24"/>
          <w:szCs w:val="24"/>
        </w:rPr>
        <w:t>KGaA</w:t>
      </w:r>
      <w:proofErr w:type="spellEnd"/>
      <w:r>
        <w:rPr>
          <w:rFonts w:ascii="Times New Roman" w:eastAsia="Times New Roman" w:hAnsi="Times New Roman" w:cs="Times New Roman"/>
          <w:color w:val="000000"/>
          <w:sz w:val="24"/>
          <w:szCs w:val="24"/>
        </w:rPr>
        <w:br/>
        <w:t>8.13.1 Overview</w:t>
      </w:r>
      <w:r>
        <w:rPr>
          <w:rFonts w:ascii="Times New Roman" w:eastAsia="Times New Roman" w:hAnsi="Times New Roman" w:cs="Times New Roman"/>
          <w:color w:val="000000"/>
          <w:sz w:val="24"/>
          <w:szCs w:val="24"/>
        </w:rPr>
        <w:br/>
        <w:t>8.13.2 Financial Performance</w:t>
      </w:r>
      <w:r>
        <w:rPr>
          <w:rFonts w:ascii="Times New Roman" w:eastAsia="Times New Roman" w:hAnsi="Times New Roman" w:cs="Times New Roman"/>
          <w:color w:val="000000"/>
          <w:sz w:val="24"/>
          <w:szCs w:val="24"/>
        </w:rPr>
        <w:br/>
        <w:t>8.13.3 Product Outlook</w:t>
      </w:r>
      <w:r>
        <w:rPr>
          <w:rFonts w:ascii="Times New Roman" w:eastAsia="Times New Roman" w:hAnsi="Times New Roman" w:cs="Times New Roman"/>
          <w:color w:val="000000"/>
          <w:sz w:val="24"/>
          <w:szCs w:val="24"/>
        </w:rPr>
        <w:br/>
        <w:t>8.13.4 Key Developments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8.14 Olympus Corporation</w:t>
      </w:r>
      <w:r>
        <w:rPr>
          <w:rFonts w:ascii="Times New Roman" w:eastAsia="Times New Roman" w:hAnsi="Times New Roman" w:cs="Times New Roman"/>
          <w:color w:val="000000"/>
          <w:sz w:val="24"/>
          <w:szCs w:val="24"/>
        </w:rPr>
        <w:br/>
        <w:t>8.14.1 Overview</w:t>
      </w:r>
      <w:r>
        <w:rPr>
          <w:rFonts w:ascii="Times New Roman" w:eastAsia="Times New Roman" w:hAnsi="Times New Roman" w:cs="Times New Roman"/>
          <w:color w:val="000000"/>
          <w:sz w:val="24"/>
          <w:szCs w:val="24"/>
        </w:rPr>
        <w:br/>
        <w:t>8.14.2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8.14.3 Product Outlook</w:t>
      </w:r>
      <w:r>
        <w:rPr>
          <w:rFonts w:ascii="Times New Roman" w:eastAsia="Times New Roman" w:hAnsi="Times New Roman" w:cs="Times New Roman"/>
          <w:color w:val="000000"/>
          <w:sz w:val="24"/>
          <w:szCs w:val="24"/>
        </w:rPr>
        <w:br/>
        <w:t>8.14.4 Key Developmen</w:t>
      </w:r>
      <w:r>
        <w:rPr>
          <w:rFonts w:ascii="Times New Roman" w:eastAsia="Times New Roman" w:hAnsi="Times New Roman" w:cs="Times New Roman"/>
          <w:color w:val="000000"/>
          <w:sz w:val="24"/>
          <w:szCs w:val="24"/>
        </w:rPr>
        <w:t>ts</w:t>
      </w:r>
    </w:p>
    <w:p w:rsidR="003C6FE9" w:rsidRDefault="00DB750B">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8.15 Baxter International Inc</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8.15.1 Overview</w:t>
      </w:r>
      <w:r>
        <w:rPr>
          <w:rFonts w:ascii="Times New Roman" w:eastAsia="Times New Roman" w:hAnsi="Times New Roman" w:cs="Times New Roman"/>
          <w:color w:val="000000"/>
          <w:sz w:val="24"/>
          <w:szCs w:val="24"/>
        </w:rPr>
        <w:br/>
        <w:t>8.15.2 Financial Performance</w:t>
      </w:r>
      <w:r>
        <w:rPr>
          <w:rFonts w:ascii="Times New Roman" w:eastAsia="Times New Roman" w:hAnsi="Times New Roman" w:cs="Times New Roman"/>
          <w:color w:val="000000"/>
          <w:sz w:val="24"/>
          <w:szCs w:val="24"/>
        </w:rPr>
        <w:br/>
        <w:t>8.15.3 Product Outlook</w:t>
      </w:r>
      <w:r>
        <w:rPr>
          <w:rFonts w:ascii="Times New Roman" w:eastAsia="Times New Roman" w:hAnsi="Times New Roman" w:cs="Times New Roman"/>
          <w:color w:val="000000"/>
          <w:sz w:val="24"/>
          <w:szCs w:val="24"/>
        </w:rPr>
        <w:br/>
        <w:t>8.15.4 Key Developments</w:t>
      </w:r>
    </w:p>
    <w:p w:rsidR="003C6FE9" w:rsidRDefault="00DB750B">
      <w:pPr>
        <w:pBdr>
          <w:top w:val="nil"/>
          <w:left w:val="nil"/>
          <w:bottom w:val="nil"/>
          <w:right w:val="nil"/>
          <w:between w:val="nil"/>
        </w:pBdr>
        <w:spacing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8.16 Roche Diagnostics</w:t>
      </w:r>
      <w:r>
        <w:rPr>
          <w:rFonts w:ascii="Times New Roman" w:eastAsia="Times New Roman" w:hAnsi="Times New Roman" w:cs="Times New Roman"/>
          <w:color w:val="000000"/>
          <w:sz w:val="24"/>
          <w:szCs w:val="24"/>
        </w:rPr>
        <w:br/>
        <w:t>8.16.1 Overview</w:t>
      </w:r>
      <w:r>
        <w:rPr>
          <w:rFonts w:ascii="Times New Roman" w:eastAsia="Times New Roman" w:hAnsi="Times New Roman" w:cs="Times New Roman"/>
          <w:color w:val="000000"/>
          <w:sz w:val="24"/>
          <w:szCs w:val="24"/>
        </w:rPr>
        <w:br/>
        <w:t>8.16.2 Financial Performance</w:t>
      </w:r>
      <w:r>
        <w:rPr>
          <w:rFonts w:ascii="Times New Roman" w:eastAsia="Times New Roman" w:hAnsi="Times New Roman" w:cs="Times New Roman"/>
          <w:color w:val="000000"/>
          <w:sz w:val="24"/>
          <w:szCs w:val="24"/>
        </w:rPr>
        <w:br/>
        <w:t>8.16.3 Product Outlook</w:t>
      </w:r>
      <w:r>
        <w:rPr>
          <w:rFonts w:ascii="Times New Roman" w:eastAsia="Times New Roman" w:hAnsi="Times New Roman" w:cs="Times New Roman"/>
          <w:color w:val="000000"/>
          <w:sz w:val="24"/>
          <w:szCs w:val="24"/>
        </w:rPr>
        <w:br/>
        <w:t>8.16.4 Key Developments</w:t>
      </w:r>
    </w:p>
    <w:p w:rsidR="003C6FE9" w:rsidRDefault="00DB750B">
      <w:pPr>
        <w:numPr>
          <w:ilvl w:val="0"/>
          <w:numId w:val="6"/>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 Development</w:t>
      </w:r>
      <w:r>
        <w:rPr>
          <w:rFonts w:ascii="Times New Roman" w:eastAsia="Times New Roman" w:hAnsi="Times New Roman" w:cs="Times New Roman"/>
          <w:b/>
          <w:sz w:val="24"/>
          <w:szCs w:val="24"/>
        </w:rPr>
        <w:t>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 Product Launches/Developments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Mergers and Acquisitions</w:t>
      </w:r>
    </w:p>
    <w:p w:rsidR="003C6FE9" w:rsidRDefault="00DB750B">
      <w:pPr>
        <w:numPr>
          <w:ilvl w:val="1"/>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 Business Expansions</w:t>
      </w:r>
    </w:p>
    <w:p w:rsidR="003C6FE9" w:rsidRDefault="00DB750B">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w:t>
      </w:r>
    </w:p>
    <w:p w:rsidR="003C6FE9" w:rsidRDefault="00DB750B">
      <w:pPr>
        <w:numPr>
          <w:ilvl w:val="1"/>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 Related Research</w:t>
      </w:r>
    </w:p>
    <w:sectPr w:rsidR="003C6FE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342"/>
    <w:multiLevelType w:val="multilevel"/>
    <w:tmpl w:val="70CA8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8A7EC9"/>
    <w:multiLevelType w:val="multilevel"/>
    <w:tmpl w:val="81E6E5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8ED3B79"/>
    <w:multiLevelType w:val="multilevel"/>
    <w:tmpl w:val="9E0EE9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42A6676"/>
    <w:multiLevelType w:val="multilevel"/>
    <w:tmpl w:val="F126F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C5B2822"/>
    <w:multiLevelType w:val="multilevel"/>
    <w:tmpl w:val="B382F7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4DF4D19"/>
    <w:multiLevelType w:val="multilevel"/>
    <w:tmpl w:val="EB6C52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E9"/>
    <w:rsid w:val="003C6FE9"/>
    <w:rsid w:val="00DB7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D4AE"/>
  <w15:docId w15:val="{2B4F4B6E-E97A-451C-8C12-8C000B63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8144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44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44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8144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44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44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44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49D"/>
    <w:rPr>
      <w:b/>
      <w:bCs/>
    </w:rPr>
  </w:style>
  <w:style w:type="paragraph" w:styleId="ListParagraph">
    <w:name w:val="List Paragraph"/>
    <w:basedOn w:val="Normal"/>
    <w:uiPriority w:val="34"/>
    <w:qFormat/>
    <w:rsid w:val="0081449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Vl0bPPCd0RaBSc67TjknmO8QAA==">CgMxLjA4AHIhMUdzS19rV1E2WFE3RmJsdG9xTUx4ZjJKMkJSUmk0X1hZ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2025-04-30T06:56:00Z</dcterms:created>
  <dcterms:modified xsi:type="dcterms:W3CDTF">2025-05-18T16:01:00Z</dcterms:modified>
</cp:coreProperties>
</file>