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5C1" w:rsidRDefault="0043596D" w:rsidP="005E0482">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noProof/>
          <w:kern w:val="36"/>
          <w:sz w:val="24"/>
          <w:szCs w:val="24"/>
          <w:lang w:val="en-IN" w:eastAsia="en-IN"/>
        </w:rPr>
        <w:drawing>
          <wp:anchor distT="0" distB="0" distL="0" distR="0" simplePos="0" relativeHeight="251671552" behindDoc="1" locked="0" layoutInCell="1" allowOverlap="1">
            <wp:simplePos x="0" y="0"/>
            <wp:positionH relativeFrom="page">
              <wp:posOffset>-133350</wp:posOffset>
            </wp:positionH>
            <wp:positionV relativeFrom="page">
              <wp:posOffset>-138430</wp:posOffset>
            </wp:positionV>
            <wp:extent cx="10233025" cy="14450060"/>
            <wp:effectExtent l="19050" t="0" r="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0645C1" w:rsidRPr="000645C1">
        <w:rPr>
          <w:rFonts w:ascii="Times New Roman" w:eastAsia="Times New Roman" w:hAnsi="Times New Roman" w:cs="Times New Roman"/>
          <w:b/>
          <w:bCs/>
          <w:kern w:val="36"/>
          <w:sz w:val="24"/>
          <w:szCs w:val="24"/>
        </w:rPr>
        <w:t>SPAIN TELEMEDICINE MARKET</w:t>
      </w:r>
    </w:p>
    <w:p w:rsidR="006E7881" w:rsidRDefault="006E7881" w:rsidP="006E7881">
      <w:p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According to Intelli, the Spain Telemedicine Market was valued at US</w:t>
      </w:r>
      <w:r>
        <w:rPr>
          <w:rFonts w:ascii="Times New Roman" w:eastAsia="Times New Roman" w:hAnsi="Times New Roman" w:cs="Times New Roman"/>
          <w:sz w:val="24"/>
          <w:szCs w:val="24"/>
        </w:rPr>
        <w:t xml:space="preserve">D </w:t>
      </w:r>
      <w:r w:rsidRPr="006E7881">
        <w:rPr>
          <w:rFonts w:ascii="Times New Roman" w:hAnsi="Times New Roman" w:cs="Times New Roman"/>
          <w:sz w:val="24"/>
        </w:rPr>
        <w:t>3,670</w:t>
      </w:r>
      <w:r w:rsidRPr="006E7881">
        <w:rPr>
          <w:rFonts w:ascii="Times New Roman" w:eastAsia="Times New Roman" w:hAnsi="Times New Roman" w:cs="Times New Roman"/>
          <w:sz w:val="28"/>
          <w:szCs w:val="24"/>
        </w:rPr>
        <w:t xml:space="preserve"> </w:t>
      </w:r>
      <w:r>
        <w:rPr>
          <w:rFonts w:ascii="Times New Roman" w:eastAsia="Times New Roman" w:hAnsi="Times New Roman" w:cs="Times New Roman"/>
          <w:sz w:val="24"/>
          <w:szCs w:val="24"/>
        </w:rPr>
        <w:t>m</w:t>
      </w:r>
      <w:r w:rsidRPr="000645C1">
        <w:rPr>
          <w:rFonts w:ascii="Times New Roman" w:eastAsia="Times New Roman" w:hAnsi="Times New Roman" w:cs="Times New Roman"/>
          <w:sz w:val="24"/>
          <w:szCs w:val="24"/>
        </w:rPr>
        <w:t xml:space="preserve">illion in 2024 and </w:t>
      </w:r>
      <w:r>
        <w:rPr>
          <w:rFonts w:ascii="Times New Roman" w:eastAsia="Times New Roman" w:hAnsi="Times New Roman" w:cs="Times New Roman"/>
          <w:sz w:val="24"/>
          <w:szCs w:val="24"/>
        </w:rPr>
        <w:t>is projected to reach USD 9289.33 m</w:t>
      </w:r>
      <w:r w:rsidRPr="000645C1">
        <w:rPr>
          <w:rFonts w:ascii="Times New Roman" w:eastAsia="Times New Roman" w:hAnsi="Times New Roman" w:cs="Times New Roman"/>
          <w:sz w:val="24"/>
          <w:szCs w:val="24"/>
        </w:rPr>
        <w:t xml:space="preserve">illion </w:t>
      </w:r>
      <w:r>
        <w:rPr>
          <w:rFonts w:ascii="Times New Roman" w:eastAsia="Times New Roman" w:hAnsi="Times New Roman" w:cs="Times New Roman"/>
          <w:sz w:val="24"/>
          <w:szCs w:val="24"/>
        </w:rPr>
        <w:t>by 2032, growing at a CAGR of 13</w:t>
      </w:r>
      <w:r w:rsidRPr="000645C1">
        <w:rPr>
          <w:rFonts w:ascii="Times New Roman" w:eastAsia="Times New Roman" w:hAnsi="Times New Roman" w:cs="Times New Roman"/>
          <w:sz w:val="24"/>
          <w:szCs w:val="24"/>
        </w:rPr>
        <w:t>.2</w:t>
      </w:r>
      <w:r>
        <w:rPr>
          <w:rFonts w:ascii="Times New Roman" w:eastAsia="Times New Roman" w:hAnsi="Times New Roman" w:cs="Times New Roman"/>
          <w:sz w:val="24"/>
          <w:szCs w:val="24"/>
        </w:rPr>
        <w:t>1</w:t>
      </w:r>
      <w:r w:rsidRPr="000645C1">
        <w:rPr>
          <w:rFonts w:ascii="Times New Roman" w:eastAsia="Times New Roman" w:hAnsi="Times New Roman" w:cs="Times New Roman"/>
          <w:sz w:val="24"/>
          <w:szCs w:val="24"/>
        </w:rPr>
        <w:t>% during the forecast period.</w:t>
      </w:r>
    </w:p>
    <w:p w:rsidR="00145443" w:rsidRPr="000645C1" w:rsidRDefault="00145443" w:rsidP="006E7881">
      <w:pPr>
        <w:spacing w:before="100" w:beforeAutospacing="1" w:after="100" w:afterAutospacing="1" w:line="360" w:lineRule="auto"/>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lang w:val="en-IN" w:eastAsia="en-IN"/>
        </w:rPr>
        <w:drawing>
          <wp:inline distT="0" distB="0" distL="0" distR="0">
            <wp:extent cx="5943600" cy="2905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ain Te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05125"/>
                    </a:xfrm>
                    <a:prstGeom prst="rect">
                      <a:avLst/>
                    </a:prstGeom>
                  </pic:spPr>
                </pic:pic>
              </a:graphicData>
            </a:graphic>
          </wp:inline>
        </w:drawing>
      </w:r>
      <w:bookmarkEnd w:id="0"/>
    </w:p>
    <w:p w:rsidR="006E7881" w:rsidRPr="000645C1" w:rsidRDefault="006E7881" w:rsidP="006E7881">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sidRPr="000645C1">
        <w:rPr>
          <w:rFonts w:ascii="Times New Roman" w:eastAsia="Times New Roman" w:hAnsi="Times New Roman" w:cs="Times New Roman"/>
          <w:sz w:val="24"/>
          <w:szCs w:val="24"/>
        </w:rPr>
        <w:t>The rapid digitalization of healthcare, increasing internet penetration, and high smartphone usage are accelerating telemedicine adoption in Spain. The COVID-19 pandemic further catalyzed this shift by prompting widespread acceptance of remote consultations and virtual care platforms. Key healthcare institutions and private hospitals now integrate video conferencing, e-prescriptions, and AI-assisted diagnostics into routine care.</w:t>
      </w:r>
    </w:p>
    <w:p w:rsidR="000645C1" w:rsidRPr="000645C1" w:rsidRDefault="006E7881" w:rsidP="005E0482">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0645C1">
        <w:rPr>
          <w:rFonts w:ascii="Times New Roman" w:eastAsia="Times New Roman" w:hAnsi="Times New Roman" w:cs="Times New Roman"/>
          <w:b/>
          <w:sz w:val="24"/>
          <w:szCs w:val="24"/>
        </w:rPr>
        <w:t>Spain Telemedicine</w:t>
      </w:r>
      <w:r w:rsidRPr="000645C1">
        <w:rPr>
          <w:rFonts w:ascii="Times New Roman" w:eastAsia="Times New Roman" w:hAnsi="Times New Roman" w:cs="Times New Roman"/>
          <w:b/>
          <w:bCs/>
          <w:sz w:val="24"/>
          <w:szCs w:val="24"/>
        </w:rPr>
        <w:t xml:space="preserve"> </w:t>
      </w:r>
      <w:r w:rsidR="000645C1" w:rsidRPr="000645C1">
        <w:rPr>
          <w:rFonts w:ascii="Times New Roman" w:eastAsia="Times New Roman" w:hAnsi="Times New Roman" w:cs="Times New Roman"/>
          <w:b/>
          <w:bCs/>
          <w:sz w:val="24"/>
          <w:szCs w:val="24"/>
        </w:rPr>
        <w:t>Market Definition</w:t>
      </w:r>
    </w:p>
    <w:p w:rsidR="000645C1" w:rsidRPr="000645C1" w:rsidRDefault="000645C1" w:rsidP="005E0482">
      <w:p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Telemedicine refers to the practice of delivering healthcare services remotely using telecommunications technology. It includes virtual consultations, remote monitoring, tele-radiology, tele-ICU, and mobile health applications. Telemedicine enables patients to access medical expertise regardless of geographic barriers, improving access, efficiency, and continuity of care.</w:t>
      </w:r>
    </w:p>
    <w:p w:rsidR="000645C1" w:rsidRPr="000645C1" w:rsidRDefault="000645C1" w:rsidP="005E0482">
      <w:p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lastRenderedPageBreak/>
        <w:t>In Spain, telemedicine is gaining prominence across primary care centers, hospitals, and private healthcare providers. The technology facilitates timely healthcare access in rural and underserved regions, supports chronic disease management, and reduces the burden on emergency departments. Integration with electronic health records and government-backed digital health initiatives are enhancing its adoption.</w:t>
      </w:r>
      <w:r w:rsidR="0043596D" w:rsidRPr="0043596D">
        <w:rPr>
          <w:rFonts w:ascii="Times New Roman" w:eastAsia="Times New Roman" w:hAnsi="Times New Roman" w:cs="Times New Roman"/>
          <w:noProof/>
          <w:sz w:val="24"/>
          <w:szCs w:val="24"/>
        </w:rPr>
        <w:t xml:space="preserve"> </w:t>
      </w:r>
    </w:p>
    <w:p w:rsidR="000645C1" w:rsidRPr="000645C1" w:rsidRDefault="000645C1" w:rsidP="005E0482">
      <w:pPr>
        <w:spacing w:after="0" w:line="360" w:lineRule="auto"/>
        <w:jc w:val="both"/>
        <w:rPr>
          <w:rFonts w:ascii="Times New Roman" w:eastAsia="Times New Roman" w:hAnsi="Times New Roman" w:cs="Times New Roman"/>
          <w:sz w:val="24"/>
          <w:szCs w:val="24"/>
        </w:rPr>
      </w:pPr>
    </w:p>
    <w:p w:rsidR="000645C1" w:rsidRPr="000645C1" w:rsidRDefault="006E7881" w:rsidP="005E0482">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0645C1">
        <w:rPr>
          <w:rFonts w:ascii="Times New Roman" w:eastAsia="Times New Roman" w:hAnsi="Times New Roman" w:cs="Times New Roman"/>
          <w:b/>
          <w:sz w:val="24"/>
          <w:szCs w:val="24"/>
        </w:rPr>
        <w:t>Spain Telemedicine</w:t>
      </w:r>
      <w:r w:rsidRPr="000645C1">
        <w:rPr>
          <w:rFonts w:ascii="Times New Roman" w:eastAsia="Times New Roman" w:hAnsi="Times New Roman" w:cs="Times New Roman"/>
          <w:b/>
          <w:bCs/>
          <w:sz w:val="24"/>
          <w:szCs w:val="24"/>
        </w:rPr>
        <w:t xml:space="preserve"> </w:t>
      </w:r>
      <w:r w:rsidR="000645C1" w:rsidRPr="000645C1">
        <w:rPr>
          <w:rFonts w:ascii="Times New Roman" w:eastAsia="Times New Roman" w:hAnsi="Times New Roman" w:cs="Times New Roman"/>
          <w:b/>
          <w:bCs/>
          <w:sz w:val="24"/>
          <w:szCs w:val="24"/>
        </w:rPr>
        <w:t>Market Overview</w:t>
      </w:r>
    </w:p>
    <w:p w:rsidR="000645C1" w:rsidRPr="000645C1" w:rsidRDefault="000645C1" w:rsidP="005E0482">
      <w:p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Spain’s aging population and high prevalence of chronic conditions such as diabetes, hypertension, and cardiovascular diseases are key drivers. Telemedicine offers convenient and cost-effective care options for ongoing disease management and follow-ups. Additionally, the Ministry of Health’s National Digital Health Strategy supports the implementation of remote health services as part of broader e-health transformation goals.</w:t>
      </w:r>
    </w:p>
    <w:p w:rsidR="000645C1" w:rsidRPr="000645C1" w:rsidRDefault="0043596D" w:rsidP="005E0482">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9504" behindDoc="1" locked="0" layoutInCell="1" allowOverlap="1">
            <wp:simplePos x="0" y="0"/>
            <wp:positionH relativeFrom="page">
              <wp:posOffset>-119380</wp:posOffset>
            </wp:positionH>
            <wp:positionV relativeFrom="page">
              <wp:posOffset>-110490</wp:posOffset>
            </wp:positionV>
            <wp:extent cx="10233025" cy="14450060"/>
            <wp:effectExtent l="19050" t="0" r="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0645C1" w:rsidRPr="000645C1">
        <w:rPr>
          <w:rFonts w:ascii="Times New Roman" w:eastAsia="Times New Roman" w:hAnsi="Times New Roman" w:cs="Times New Roman"/>
          <w:sz w:val="24"/>
          <w:szCs w:val="24"/>
        </w:rPr>
        <w:t>Collaborations between healthcare providers, IT vendors, and telecom operators are strengthening the telehealth infrastructure. Market players are also launching AI-integrated platforms with multilingual support and wearable health monitoring capabilities to improve patient outcomes and reduce clinical workloads.</w:t>
      </w:r>
    </w:p>
    <w:p w:rsidR="000645C1" w:rsidRPr="000645C1" w:rsidRDefault="000645C1" w:rsidP="005E0482">
      <w:pPr>
        <w:spacing w:after="0" w:line="360" w:lineRule="auto"/>
        <w:jc w:val="both"/>
        <w:rPr>
          <w:rFonts w:ascii="Times New Roman" w:eastAsia="Times New Roman" w:hAnsi="Times New Roman" w:cs="Times New Roman"/>
          <w:sz w:val="24"/>
          <w:szCs w:val="24"/>
        </w:rPr>
      </w:pPr>
    </w:p>
    <w:p w:rsidR="000645C1" w:rsidRPr="000645C1" w:rsidRDefault="006E7881" w:rsidP="005E0482">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0645C1">
        <w:rPr>
          <w:rFonts w:ascii="Times New Roman" w:eastAsia="Times New Roman" w:hAnsi="Times New Roman" w:cs="Times New Roman"/>
          <w:b/>
          <w:sz w:val="24"/>
          <w:szCs w:val="24"/>
        </w:rPr>
        <w:t>Spain Telemedicine</w:t>
      </w:r>
      <w:r w:rsidRPr="000645C1">
        <w:rPr>
          <w:rFonts w:ascii="Times New Roman" w:eastAsia="Times New Roman" w:hAnsi="Times New Roman" w:cs="Times New Roman"/>
          <w:b/>
          <w:bCs/>
          <w:sz w:val="24"/>
          <w:szCs w:val="24"/>
        </w:rPr>
        <w:t xml:space="preserve"> </w:t>
      </w:r>
      <w:r w:rsidR="000645C1" w:rsidRPr="000645C1">
        <w:rPr>
          <w:rFonts w:ascii="Times New Roman" w:eastAsia="Times New Roman" w:hAnsi="Times New Roman" w:cs="Times New Roman"/>
          <w:b/>
          <w:bCs/>
          <w:sz w:val="24"/>
          <w:szCs w:val="24"/>
        </w:rPr>
        <w:t>Market Segment Analysis</w:t>
      </w:r>
    </w:p>
    <w:p w:rsidR="000645C1" w:rsidRPr="000645C1" w:rsidRDefault="000645C1" w:rsidP="005E0482">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0645C1">
        <w:rPr>
          <w:rFonts w:ascii="Times New Roman" w:eastAsia="Times New Roman" w:hAnsi="Times New Roman" w:cs="Times New Roman"/>
          <w:b/>
          <w:bCs/>
          <w:sz w:val="24"/>
          <w:szCs w:val="24"/>
        </w:rPr>
        <w:t>By Component</w:t>
      </w:r>
    </w:p>
    <w:p w:rsidR="000645C1" w:rsidRPr="000645C1" w:rsidRDefault="000645C1" w:rsidP="005E0482">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Software</w:t>
      </w:r>
      <w:r w:rsidRPr="000645C1">
        <w:rPr>
          <w:rFonts w:ascii="Times New Roman" w:eastAsia="Times New Roman" w:hAnsi="Times New Roman" w:cs="Times New Roman"/>
          <w:sz w:val="24"/>
          <w:szCs w:val="24"/>
        </w:rPr>
        <w:t>: Includes video conferencing tools, mobile health apps, and integrated telehealth platforms used for virtual consultations and health data sharing.</w:t>
      </w:r>
    </w:p>
    <w:p w:rsidR="000645C1" w:rsidRPr="000645C1" w:rsidRDefault="000645C1" w:rsidP="005E0482">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Hardware</w:t>
      </w:r>
      <w:r w:rsidRPr="000645C1">
        <w:rPr>
          <w:rFonts w:ascii="Times New Roman" w:eastAsia="Times New Roman" w:hAnsi="Times New Roman" w:cs="Times New Roman"/>
          <w:sz w:val="24"/>
          <w:szCs w:val="24"/>
        </w:rPr>
        <w:t>: Comprises digital diagnostic devices, webcams, wearable sensors, and remote monitoring tools.</w:t>
      </w:r>
    </w:p>
    <w:p w:rsidR="000645C1" w:rsidRPr="000645C1" w:rsidRDefault="000645C1" w:rsidP="005E0482">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Services</w:t>
      </w:r>
      <w:r w:rsidRPr="000645C1">
        <w:rPr>
          <w:rFonts w:ascii="Times New Roman" w:eastAsia="Times New Roman" w:hAnsi="Times New Roman" w:cs="Times New Roman"/>
          <w:sz w:val="24"/>
          <w:szCs w:val="24"/>
        </w:rPr>
        <w:t>: Encompasses platform deployment, training, technical support, and system integration services.</w:t>
      </w:r>
    </w:p>
    <w:p w:rsidR="000645C1" w:rsidRPr="000645C1" w:rsidRDefault="000645C1" w:rsidP="005E0482">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0645C1">
        <w:rPr>
          <w:rFonts w:ascii="Times New Roman" w:eastAsia="Times New Roman" w:hAnsi="Times New Roman" w:cs="Times New Roman"/>
          <w:b/>
          <w:bCs/>
          <w:sz w:val="24"/>
          <w:szCs w:val="24"/>
        </w:rPr>
        <w:lastRenderedPageBreak/>
        <w:t>By Mode of Delivery</w:t>
      </w:r>
    </w:p>
    <w:p w:rsidR="000645C1" w:rsidRPr="000645C1" w:rsidRDefault="000645C1" w:rsidP="005E0482">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Web-based</w:t>
      </w:r>
      <w:r w:rsidRPr="000645C1">
        <w:rPr>
          <w:rFonts w:ascii="Times New Roman" w:eastAsia="Times New Roman" w:hAnsi="Times New Roman" w:cs="Times New Roman"/>
          <w:sz w:val="24"/>
          <w:szCs w:val="24"/>
        </w:rPr>
        <w:t>: Widely used due to its flexibility and ease of integration with existing hospital IT systems.</w:t>
      </w:r>
    </w:p>
    <w:p w:rsidR="000645C1" w:rsidRPr="000645C1" w:rsidRDefault="000645C1" w:rsidP="005E0482">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Cloud-based</w:t>
      </w:r>
      <w:r w:rsidRPr="000645C1">
        <w:rPr>
          <w:rFonts w:ascii="Times New Roman" w:eastAsia="Times New Roman" w:hAnsi="Times New Roman" w:cs="Times New Roman"/>
          <w:sz w:val="24"/>
          <w:szCs w:val="24"/>
        </w:rPr>
        <w:t>: Gaining popularity for scalability, data storage, and interoperability across healthcare institutions.</w:t>
      </w:r>
    </w:p>
    <w:p w:rsidR="000645C1" w:rsidRPr="000645C1" w:rsidRDefault="000645C1" w:rsidP="005E0482">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On-premise</w:t>
      </w:r>
      <w:r w:rsidRPr="000645C1">
        <w:rPr>
          <w:rFonts w:ascii="Times New Roman" w:eastAsia="Times New Roman" w:hAnsi="Times New Roman" w:cs="Times New Roman"/>
          <w:sz w:val="24"/>
          <w:szCs w:val="24"/>
        </w:rPr>
        <w:t>: Preferred by large hospitals for tighter data control and customization.</w:t>
      </w:r>
    </w:p>
    <w:p w:rsidR="000645C1" w:rsidRPr="000645C1" w:rsidRDefault="000645C1" w:rsidP="005E0482">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0645C1">
        <w:rPr>
          <w:rFonts w:ascii="Times New Roman" w:eastAsia="Times New Roman" w:hAnsi="Times New Roman" w:cs="Times New Roman"/>
          <w:b/>
          <w:bCs/>
          <w:sz w:val="24"/>
          <w:szCs w:val="24"/>
        </w:rPr>
        <w:t>By Application</w:t>
      </w:r>
    </w:p>
    <w:p w:rsidR="000645C1" w:rsidRPr="000645C1" w:rsidRDefault="000645C1" w:rsidP="005E0482">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Teleradiology</w:t>
      </w:r>
      <w:r w:rsidRPr="000645C1">
        <w:rPr>
          <w:rFonts w:ascii="Times New Roman" w:eastAsia="Times New Roman" w:hAnsi="Times New Roman" w:cs="Times New Roman"/>
          <w:sz w:val="24"/>
          <w:szCs w:val="24"/>
        </w:rPr>
        <w:t>: Enables remote interpretation of imaging data, widely adopted in radiology departments and diagnostic labs.</w:t>
      </w:r>
    </w:p>
    <w:p w:rsidR="000645C1" w:rsidRPr="000645C1" w:rsidRDefault="000645C1" w:rsidP="005E0482">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Telepathology</w:t>
      </w:r>
      <w:r w:rsidRPr="000645C1">
        <w:rPr>
          <w:rFonts w:ascii="Times New Roman" w:eastAsia="Times New Roman" w:hAnsi="Times New Roman" w:cs="Times New Roman"/>
          <w:sz w:val="24"/>
          <w:szCs w:val="24"/>
        </w:rPr>
        <w:t>: Used for sharing pathology slides and enabling remote diagnosis.</w:t>
      </w:r>
    </w:p>
    <w:p w:rsidR="000645C1" w:rsidRPr="000645C1" w:rsidRDefault="0043596D" w:rsidP="005E0482">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7456" behindDoc="1" locked="0" layoutInCell="1" allowOverlap="1">
            <wp:simplePos x="0" y="0"/>
            <wp:positionH relativeFrom="page">
              <wp:posOffset>-84455</wp:posOffset>
            </wp:positionH>
            <wp:positionV relativeFrom="page">
              <wp:posOffset>-110490</wp:posOffset>
            </wp:positionV>
            <wp:extent cx="10233025" cy="14450060"/>
            <wp:effectExtent l="19050" t="0" r="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0645C1" w:rsidRPr="000645C1">
        <w:rPr>
          <w:rFonts w:ascii="Times New Roman" w:eastAsia="Times New Roman" w:hAnsi="Times New Roman" w:cs="Times New Roman"/>
          <w:b/>
          <w:bCs/>
          <w:sz w:val="24"/>
          <w:szCs w:val="24"/>
        </w:rPr>
        <w:t>Telecardiology</w:t>
      </w:r>
      <w:r w:rsidR="000645C1" w:rsidRPr="000645C1">
        <w:rPr>
          <w:rFonts w:ascii="Times New Roman" w:eastAsia="Times New Roman" w:hAnsi="Times New Roman" w:cs="Times New Roman"/>
          <w:sz w:val="24"/>
          <w:szCs w:val="24"/>
        </w:rPr>
        <w:t>: Supports real-time ECG transmission and cardiology consultations.</w:t>
      </w:r>
    </w:p>
    <w:p w:rsidR="000645C1" w:rsidRPr="000645C1" w:rsidRDefault="000645C1" w:rsidP="005E0482">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Telepsychiatry</w:t>
      </w:r>
      <w:r w:rsidRPr="000645C1">
        <w:rPr>
          <w:rFonts w:ascii="Times New Roman" w:eastAsia="Times New Roman" w:hAnsi="Times New Roman" w:cs="Times New Roman"/>
          <w:sz w:val="24"/>
          <w:szCs w:val="24"/>
        </w:rPr>
        <w:t>: Increasingly adopted for mental health support and counseling.</w:t>
      </w:r>
    </w:p>
    <w:p w:rsidR="000645C1" w:rsidRPr="000645C1" w:rsidRDefault="000645C1" w:rsidP="005E0482">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General Consultation</w:t>
      </w:r>
      <w:r w:rsidRPr="000645C1">
        <w:rPr>
          <w:rFonts w:ascii="Times New Roman" w:eastAsia="Times New Roman" w:hAnsi="Times New Roman" w:cs="Times New Roman"/>
          <w:sz w:val="24"/>
          <w:szCs w:val="24"/>
        </w:rPr>
        <w:t>: Covers primary care and routine patient consultations across multiple specialties.</w:t>
      </w:r>
    </w:p>
    <w:p w:rsidR="000645C1" w:rsidRPr="000645C1" w:rsidRDefault="000645C1" w:rsidP="005E0482">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0645C1">
        <w:rPr>
          <w:rFonts w:ascii="Times New Roman" w:eastAsia="Times New Roman" w:hAnsi="Times New Roman" w:cs="Times New Roman"/>
          <w:b/>
          <w:bCs/>
          <w:sz w:val="24"/>
          <w:szCs w:val="24"/>
        </w:rPr>
        <w:t>By End User</w:t>
      </w:r>
    </w:p>
    <w:p w:rsidR="000645C1" w:rsidRPr="000645C1" w:rsidRDefault="000645C1" w:rsidP="005E0482">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Hospitals</w:t>
      </w:r>
      <w:r w:rsidRPr="000645C1">
        <w:rPr>
          <w:rFonts w:ascii="Times New Roman" w:eastAsia="Times New Roman" w:hAnsi="Times New Roman" w:cs="Times New Roman"/>
          <w:sz w:val="24"/>
          <w:szCs w:val="24"/>
        </w:rPr>
        <w:t>: Implement telemedicine to enhance service delivery and improve patient management.</w:t>
      </w:r>
    </w:p>
    <w:p w:rsidR="000645C1" w:rsidRPr="000645C1" w:rsidRDefault="000645C1" w:rsidP="005E0482">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Homecare Settings</w:t>
      </w:r>
      <w:r w:rsidRPr="000645C1">
        <w:rPr>
          <w:rFonts w:ascii="Times New Roman" w:eastAsia="Times New Roman" w:hAnsi="Times New Roman" w:cs="Times New Roman"/>
          <w:sz w:val="24"/>
          <w:szCs w:val="24"/>
        </w:rPr>
        <w:t>: Rising demand due to preference for remote follow-ups and chronic disease monitoring.</w:t>
      </w:r>
    </w:p>
    <w:p w:rsidR="000645C1" w:rsidRPr="000645C1" w:rsidRDefault="000645C1" w:rsidP="005E0482">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Clinics</w:t>
      </w:r>
      <w:r w:rsidRPr="000645C1">
        <w:rPr>
          <w:rFonts w:ascii="Times New Roman" w:eastAsia="Times New Roman" w:hAnsi="Times New Roman" w:cs="Times New Roman"/>
          <w:sz w:val="24"/>
          <w:szCs w:val="24"/>
        </w:rPr>
        <w:t>: Offer teleconsultations to expand reach and optimize appointment scheduling.</w:t>
      </w:r>
    </w:p>
    <w:p w:rsidR="000645C1" w:rsidRPr="000645C1" w:rsidRDefault="000645C1" w:rsidP="005E0482">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Others (Insurance Providers, Pharmacies)</w:t>
      </w:r>
      <w:r w:rsidRPr="000645C1">
        <w:rPr>
          <w:rFonts w:ascii="Times New Roman" w:eastAsia="Times New Roman" w:hAnsi="Times New Roman" w:cs="Times New Roman"/>
          <w:sz w:val="24"/>
          <w:szCs w:val="24"/>
        </w:rPr>
        <w:t>: Use telemedicine for policy services and e-prescriptions.</w:t>
      </w:r>
    </w:p>
    <w:p w:rsidR="000645C1" w:rsidRPr="000645C1" w:rsidRDefault="000645C1" w:rsidP="005E0482">
      <w:pPr>
        <w:spacing w:after="0" w:line="360" w:lineRule="auto"/>
        <w:jc w:val="both"/>
        <w:rPr>
          <w:rFonts w:ascii="Times New Roman" w:eastAsia="Times New Roman" w:hAnsi="Times New Roman" w:cs="Times New Roman"/>
          <w:sz w:val="24"/>
          <w:szCs w:val="24"/>
        </w:rPr>
      </w:pPr>
    </w:p>
    <w:p w:rsidR="000645C1" w:rsidRPr="000645C1" w:rsidRDefault="006E7881" w:rsidP="005E0482">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0645C1">
        <w:rPr>
          <w:rFonts w:ascii="Times New Roman" w:eastAsia="Times New Roman" w:hAnsi="Times New Roman" w:cs="Times New Roman"/>
          <w:b/>
          <w:sz w:val="24"/>
          <w:szCs w:val="24"/>
        </w:rPr>
        <w:t>Spain Telemedicine</w:t>
      </w:r>
      <w:r w:rsidRPr="000645C1">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market </w:t>
      </w:r>
      <w:r w:rsidR="000645C1" w:rsidRPr="000645C1">
        <w:rPr>
          <w:rFonts w:ascii="Times New Roman" w:eastAsia="Times New Roman" w:hAnsi="Times New Roman" w:cs="Times New Roman"/>
          <w:b/>
          <w:bCs/>
          <w:sz w:val="24"/>
          <w:szCs w:val="24"/>
        </w:rPr>
        <w:t>Competitive Landscape</w:t>
      </w:r>
    </w:p>
    <w:p w:rsidR="000645C1" w:rsidRPr="000645C1" w:rsidRDefault="000645C1" w:rsidP="005E0482">
      <w:p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lastRenderedPageBreak/>
        <w:t>The Spain telemedicine market features a competitive mix of local digital health startups and global telehealth solution providers. Companies compete based on platform usability, security features, AI capabilities, and integration with national health records.</w:t>
      </w:r>
    </w:p>
    <w:p w:rsidR="000645C1" w:rsidRPr="000645C1" w:rsidRDefault="000645C1" w:rsidP="005E0482">
      <w:pPr>
        <w:spacing w:after="0" w:line="360" w:lineRule="auto"/>
        <w:jc w:val="both"/>
        <w:rPr>
          <w:rFonts w:ascii="Times New Roman" w:eastAsia="Times New Roman" w:hAnsi="Times New Roman" w:cs="Times New Roman"/>
          <w:sz w:val="24"/>
          <w:szCs w:val="24"/>
        </w:rPr>
      </w:pPr>
    </w:p>
    <w:p w:rsidR="000645C1" w:rsidRPr="000645C1" w:rsidRDefault="006E7881" w:rsidP="005E0482">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Key</w:t>
      </w:r>
      <w:r w:rsidR="000645C1" w:rsidRPr="000645C1">
        <w:rPr>
          <w:rFonts w:ascii="Times New Roman" w:eastAsia="Times New Roman" w:hAnsi="Times New Roman" w:cs="Times New Roman"/>
          <w:b/>
          <w:bCs/>
          <w:sz w:val="24"/>
          <w:szCs w:val="24"/>
        </w:rPr>
        <w:t xml:space="preserve"> Profiles</w:t>
      </w:r>
      <w:r>
        <w:rPr>
          <w:rFonts w:ascii="Times New Roman" w:eastAsia="Times New Roman" w:hAnsi="Times New Roman" w:cs="Times New Roman"/>
          <w:b/>
          <w:bCs/>
          <w:sz w:val="24"/>
          <w:szCs w:val="24"/>
        </w:rPr>
        <w:t xml:space="preserve"> of </w:t>
      </w:r>
      <w:r w:rsidRPr="000645C1">
        <w:rPr>
          <w:rFonts w:ascii="Times New Roman" w:eastAsia="Times New Roman" w:hAnsi="Times New Roman" w:cs="Times New Roman"/>
          <w:b/>
          <w:sz w:val="24"/>
          <w:szCs w:val="24"/>
        </w:rPr>
        <w:t>Spain Telemedicine</w:t>
      </w:r>
      <w:r w:rsidRPr="006E7881">
        <w:rPr>
          <w:rFonts w:ascii="Times New Roman" w:eastAsia="Times New Roman" w:hAnsi="Times New Roman" w:cs="Times New Roman"/>
          <w:b/>
          <w:sz w:val="24"/>
          <w:szCs w:val="24"/>
        </w:rPr>
        <w:t xml:space="preserve"> market</w:t>
      </w:r>
    </w:p>
    <w:p w:rsidR="000645C1" w:rsidRPr="000645C1" w:rsidRDefault="000645C1" w:rsidP="005E0482">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Teladoc Health</w:t>
      </w:r>
    </w:p>
    <w:p w:rsidR="000645C1" w:rsidRPr="000645C1" w:rsidRDefault="000645C1" w:rsidP="005E0482">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Siemens Healthineers</w:t>
      </w:r>
    </w:p>
    <w:p w:rsidR="000645C1" w:rsidRPr="000645C1" w:rsidRDefault="000645C1" w:rsidP="005E0482">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Medtronic</w:t>
      </w:r>
    </w:p>
    <w:p w:rsidR="000645C1" w:rsidRPr="000645C1" w:rsidRDefault="000645C1" w:rsidP="005E0482">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Doctolib</w:t>
      </w:r>
    </w:p>
    <w:p w:rsidR="000645C1" w:rsidRPr="000645C1" w:rsidRDefault="000645C1" w:rsidP="005E0482">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Babylon Health</w:t>
      </w:r>
    </w:p>
    <w:p w:rsidR="000645C1" w:rsidRPr="000645C1" w:rsidRDefault="000645C1" w:rsidP="005E0482">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Global Telemedicine Group</w:t>
      </w:r>
    </w:p>
    <w:p w:rsidR="000645C1" w:rsidRPr="000645C1" w:rsidRDefault="000645C1" w:rsidP="005E0482">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Ever Health</w:t>
      </w:r>
    </w:p>
    <w:p w:rsidR="000645C1" w:rsidRPr="000645C1" w:rsidRDefault="0043596D" w:rsidP="005E0482">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5408" behindDoc="1" locked="0" layoutInCell="1" allowOverlap="1">
            <wp:simplePos x="0" y="0"/>
            <wp:positionH relativeFrom="page">
              <wp:posOffset>-257810</wp:posOffset>
            </wp:positionH>
            <wp:positionV relativeFrom="page">
              <wp:posOffset>-117475</wp:posOffset>
            </wp:positionV>
            <wp:extent cx="10233025" cy="14450060"/>
            <wp:effectExtent l="19050" t="0" r="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0645C1" w:rsidRPr="000645C1">
        <w:rPr>
          <w:rFonts w:ascii="Times New Roman" w:eastAsia="Times New Roman" w:hAnsi="Times New Roman" w:cs="Times New Roman"/>
          <w:sz w:val="24"/>
          <w:szCs w:val="24"/>
        </w:rPr>
        <w:t>VIVIA Telemedicine</w:t>
      </w:r>
    </w:p>
    <w:p w:rsidR="000645C1" w:rsidRPr="000645C1" w:rsidRDefault="000645C1" w:rsidP="005E0482">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Infermedica</w:t>
      </w:r>
    </w:p>
    <w:p w:rsidR="000645C1" w:rsidRPr="000645C1" w:rsidRDefault="000645C1" w:rsidP="005E0482">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Savana</w:t>
      </w:r>
    </w:p>
    <w:p w:rsidR="000645C1" w:rsidRPr="000645C1" w:rsidRDefault="000645C1" w:rsidP="005E0482">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Cisco Systems, Inc.</w:t>
      </w:r>
    </w:p>
    <w:p w:rsidR="000645C1" w:rsidRPr="000645C1" w:rsidRDefault="000645C1" w:rsidP="005E0482">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eConsult</w:t>
      </w:r>
    </w:p>
    <w:p w:rsidR="000645C1" w:rsidRPr="000645C1" w:rsidRDefault="000645C1" w:rsidP="005E0482">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Docline</w:t>
      </w:r>
    </w:p>
    <w:p w:rsidR="000645C1" w:rsidRPr="000645C1" w:rsidRDefault="000645C1" w:rsidP="005E0482">
      <w:pPr>
        <w:spacing w:after="0" w:line="360" w:lineRule="auto"/>
        <w:jc w:val="both"/>
        <w:rPr>
          <w:rFonts w:ascii="Times New Roman" w:eastAsia="Times New Roman" w:hAnsi="Times New Roman" w:cs="Times New Roman"/>
          <w:sz w:val="24"/>
          <w:szCs w:val="24"/>
        </w:rPr>
      </w:pPr>
    </w:p>
    <w:p w:rsidR="000645C1" w:rsidRPr="000645C1" w:rsidRDefault="000645C1" w:rsidP="005E0482">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0645C1">
        <w:rPr>
          <w:rFonts w:ascii="Times New Roman" w:eastAsia="Times New Roman" w:hAnsi="Times New Roman" w:cs="Times New Roman"/>
          <w:b/>
          <w:bCs/>
          <w:sz w:val="24"/>
          <w:szCs w:val="24"/>
        </w:rPr>
        <w:t>Key Developments</w:t>
      </w:r>
    </w:p>
    <w:p w:rsidR="005E0482" w:rsidRPr="005E0482" w:rsidRDefault="005E0482" w:rsidP="005E0482">
      <w:pPr>
        <w:numPr>
          <w:ilvl w:val="0"/>
          <w:numId w:val="6"/>
        </w:numPr>
        <w:spacing w:before="100" w:beforeAutospacing="1" w:after="100" w:afterAutospacing="1" w:line="360" w:lineRule="auto"/>
        <w:jc w:val="both"/>
        <w:rPr>
          <w:rFonts w:ascii="Times New Roman" w:eastAsia="Times New Roman" w:hAnsi="Times New Roman" w:cs="Times New Roman"/>
          <w:sz w:val="28"/>
          <w:szCs w:val="24"/>
        </w:rPr>
      </w:pPr>
      <w:r w:rsidRPr="005E0482">
        <w:rPr>
          <w:rFonts w:ascii="Times New Roman" w:hAnsi="Times New Roman" w:cs="Times New Roman"/>
          <w:b/>
          <w:sz w:val="24"/>
        </w:rPr>
        <w:t>On April 17, 2025</w:t>
      </w:r>
      <w:r w:rsidRPr="005E0482">
        <w:rPr>
          <w:rFonts w:ascii="Times New Roman" w:hAnsi="Times New Roman" w:cs="Times New Roman"/>
          <w:sz w:val="24"/>
        </w:rPr>
        <w:t xml:space="preserve">, </w:t>
      </w:r>
      <w:r w:rsidRPr="005E0482">
        <w:rPr>
          <w:rStyle w:val="Strong"/>
          <w:rFonts w:ascii="Times New Roman" w:hAnsi="Times New Roman" w:cs="Times New Roman"/>
          <w:sz w:val="24"/>
        </w:rPr>
        <w:t>DocNow</w:t>
      </w:r>
      <w:r w:rsidRPr="005E0482">
        <w:rPr>
          <w:rFonts w:ascii="Times New Roman" w:hAnsi="Times New Roman" w:cs="Times New Roman"/>
          <w:sz w:val="24"/>
        </w:rPr>
        <w:t xml:space="preserve"> announced the launch of </w:t>
      </w:r>
      <w:r w:rsidRPr="005E0482">
        <w:rPr>
          <w:rStyle w:val="Strong"/>
          <w:rFonts w:ascii="Times New Roman" w:hAnsi="Times New Roman" w:cs="Times New Roman"/>
          <w:sz w:val="24"/>
        </w:rPr>
        <w:t>DocNow Telehealth</w:t>
      </w:r>
      <w:r w:rsidRPr="005E0482">
        <w:rPr>
          <w:rFonts w:ascii="Times New Roman" w:hAnsi="Times New Roman" w:cs="Times New Roman"/>
          <w:sz w:val="24"/>
        </w:rPr>
        <w:t xml:space="preserve">, a secure virtual care platform powered by Zoom. Tailored specifically for providers in </w:t>
      </w:r>
      <w:r w:rsidRPr="005E0482">
        <w:rPr>
          <w:rStyle w:val="Strong"/>
          <w:rFonts w:ascii="Times New Roman" w:hAnsi="Times New Roman" w:cs="Times New Roman"/>
          <w:sz w:val="24"/>
        </w:rPr>
        <w:t>Skilled Nursing Facilities (SNFs)</w:t>
      </w:r>
      <w:r w:rsidRPr="005E0482">
        <w:rPr>
          <w:rFonts w:ascii="Times New Roman" w:hAnsi="Times New Roman" w:cs="Times New Roman"/>
          <w:sz w:val="24"/>
        </w:rPr>
        <w:t xml:space="preserve">, </w:t>
      </w:r>
      <w:r w:rsidRPr="005E0482">
        <w:rPr>
          <w:rStyle w:val="Strong"/>
          <w:rFonts w:ascii="Times New Roman" w:hAnsi="Times New Roman" w:cs="Times New Roman"/>
          <w:sz w:val="24"/>
        </w:rPr>
        <w:t>Long-Term Care (LTC)</w:t>
      </w:r>
      <w:r w:rsidRPr="005E0482">
        <w:rPr>
          <w:rFonts w:ascii="Times New Roman" w:hAnsi="Times New Roman" w:cs="Times New Roman"/>
          <w:sz w:val="24"/>
        </w:rPr>
        <w:t xml:space="preserve">, and </w:t>
      </w:r>
      <w:r w:rsidRPr="005E0482">
        <w:rPr>
          <w:rStyle w:val="Strong"/>
          <w:rFonts w:ascii="Times New Roman" w:hAnsi="Times New Roman" w:cs="Times New Roman"/>
          <w:sz w:val="24"/>
        </w:rPr>
        <w:t>Home Health</w:t>
      </w:r>
      <w:r w:rsidRPr="005E0482">
        <w:rPr>
          <w:rFonts w:ascii="Times New Roman" w:hAnsi="Times New Roman" w:cs="Times New Roman"/>
          <w:sz w:val="24"/>
        </w:rPr>
        <w:t xml:space="preserve"> settings, the platform enhances remote care delivery and streamlines virtual consultations within post-acute care environments.</w:t>
      </w:r>
    </w:p>
    <w:p w:rsidR="005E0482" w:rsidRPr="005E0482" w:rsidRDefault="005E0482" w:rsidP="005E0482">
      <w:pPr>
        <w:numPr>
          <w:ilvl w:val="0"/>
          <w:numId w:val="6"/>
        </w:numPr>
        <w:spacing w:before="100" w:beforeAutospacing="1" w:after="100" w:afterAutospacing="1" w:line="360" w:lineRule="auto"/>
        <w:jc w:val="both"/>
        <w:rPr>
          <w:rFonts w:ascii="Times New Roman" w:eastAsia="Times New Roman" w:hAnsi="Times New Roman" w:cs="Times New Roman"/>
          <w:sz w:val="28"/>
          <w:szCs w:val="24"/>
        </w:rPr>
      </w:pPr>
      <w:r w:rsidRPr="005E0482">
        <w:rPr>
          <w:rFonts w:ascii="Times New Roman" w:hAnsi="Times New Roman" w:cs="Times New Roman"/>
          <w:sz w:val="24"/>
        </w:rPr>
        <w:t xml:space="preserve">In Spain, </w:t>
      </w:r>
      <w:r w:rsidRPr="005E0482">
        <w:rPr>
          <w:rStyle w:val="Strong"/>
          <w:rFonts w:ascii="Times New Roman" w:hAnsi="Times New Roman" w:cs="Times New Roman"/>
          <w:sz w:val="24"/>
        </w:rPr>
        <w:t>2024 marks the year of consolidation for telemedicine</w:t>
      </w:r>
      <w:r w:rsidRPr="005E0482">
        <w:rPr>
          <w:rFonts w:ascii="Times New Roman" w:hAnsi="Times New Roman" w:cs="Times New Roman"/>
          <w:sz w:val="24"/>
        </w:rPr>
        <w:t>, building on the technological advancements and successful implementations achieved throughout 2023.</w:t>
      </w:r>
    </w:p>
    <w:p w:rsidR="000645C1" w:rsidRPr="000645C1" w:rsidRDefault="000645C1" w:rsidP="005E0482">
      <w:pPr>
        <w:spacing w:after="0" w:line="360" w:lineRule="auto"/>
        <w:jc w:val="both"/>
        <w:rPr>
          <w:rFonts w:ascii="Times New Roman" w:eastAsia="Times New Roman" w:hAnsi="Times New Roman" w:cs="Times New Roman"/>
          <w:sz w:val="24"/>
          <w:szCs w:val="24"/>
        </w:rPr>
      </w:pPr>
    </w:p>
    <w:p w:rsidR="000645C1" w:rsidRPr="000645C1" w:rsidRDefault="000645C1" w:rsidP="005E0482">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0645C1">
        <w:rPr>
          <w:rFonts w:ascii="Times New Roman" w:eastAsia="Times New Roman" w:hAnsi="Times New Roman" w:cs="Times New Roman"/>
          <w:b/>
          <w:bCs/>
          <w:sz w:val="24"/>
          <w:szCs w:val="24"/>
        </w:rPr>
        <w:t>Market Attractiveness</w:t>
      </w:r>
    </w:p>
    <w:p w:rsidR="000645C1" w:rsidRPr="000645C1" w:rsidRDefault="000645C1" w:rsidP="005E0482">
      <w:p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Spain is a promising telemedicine market owing to its strong digital infrastructure, proactive government policies, and growing demand for healthcare decentralization. The shift toward value-based care and aging demographics further fuel telehealth innovation and scalability.</w:t>
      </w:r>
    </w:p>
    <w:p w:rsidR="000645C1" w:rsidRPr="000645C1" w:rsidRDefault="000645C1" w:rsidP="005E0482">
      <w:pPr>
        <w:spacing w:after="0" w:line="360" w:lineRule="auto"/>
        <w:jc w:val="both"/>
        <w:rPr>
          <w:rFonts w:ascii="Times New Roman" w:eastAsia="Times New Roman" w:hAnsi="Times New Roman" w:cs="Times New Roman"/>
          <w:sz w:val="24"/>
          <w:szCs w:val="24"/>
        </w:rPr>
      </w:pPr>
    </w:p>
    <w:p w:rsidR="000645C1" w:rsidRPr="000645C1" w:rsidRDefault="000645C1" w:rsidP="005E0482">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0645C1">
        <w:rPr>
          <w:rFonts w:ascii="Times New Roman" w:eastAsia="Times New Roman" w:hAnsi="Times New Roman" w:cs="Times New Roman"/>
          <w:b/>
          <w:bCs/>
          <w:sz w:val="24"/>
          <w:szCs w:val="24"/>
        </w:rPr>
        <w:t>Porter’s Five Forces Analysis</w:t>
      </w:r>
    </w:p>
    <w:p w:rsidR="000645C1" w:rsidRPr="000645C1" w:rsidRDefault="000645C1" w:rsidP="005E0482">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Threat of New Entrants</w:t>
      </w:r>
      <w:r w:rsidRPr="000645C1">
        <w:rPr>
          <w:rFonts w:ascii="Times New Roman" w:eastAsia="Times New Roman" w:hAnsi="Times New Roman" w:cs="Times New Roman"/>
          <w:sz w:val="24"/>
          <w:szCs w:val="24"/>
        </w:rPr>
        <w:t>: Moderate, due to the requirement for data security compliance and platform certification.</w:t>
      </w:r>
    </w:p>
    <w:p w:rsidR="000645C1" w:rsidRPr="000645C1" w:rsidRDefault="000645C1" w:rsidP="005E0482">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Bargaining Power of Suppliers</w:t>
      </w:r>
      <w:r w:rsidRPr="000645C1">
        <w:rPr>
          <w:rFonts w:ascii="Times New Roman" w:eastAsia="Times New Roman" w:hAnsi="Times New Roman" w:cs="Times New Roman"/>
          <w:sz w:val="24"/>
          <w:szCs w:val="24"/>
        </w:rPr>
        <w:t>: Low to moderate, depending on technology sourcing.</w:t>
      </w:r>
    </w:p>
    <w:p w:rsidR="000645C1" w:rsidRPr="000645C1" w:rsidRDefault="0043596D" w:rsidP="005E0482">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3360" behindDoc="1" locked="0" layoutInCell="1" allowOverlap="1">
            <wp:simplePos x="0" y="0"/>
            <wp:positionH relativeFrom="page">
              <wp:posOffset>-195580</wp:posOffset>
            </wp:positionH>
            <wp:positionV relativeFrom="page">
              <wp:posOffset>-200660</wp:posOffset>
            </wp:positionV>
            <wp:extent cx="10233025" cy="14450060"/>
            <wp:effectExtent l="19050" t="0" r="0"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0645C1" w:rsidRPr="000645C1">
        <w:rPr>
          <w:rFonts w:ascii="Times New Roman" w:eastAsia="Times New Roman" w:hAnsi="Times New Roman" w:cs="Times New Roman"/>
          <w:b/>
          <w:bCs/>
          <w:sz w:val="24"/>
          <w:szCs w:val="24"/>
        </w:rPr>
        <w:t>Bargaining Power of Buyers</w:t>
      </w:r>
      <w:r w:rsidR="000645C1" w:rsidRPr="000645C1">
        <w:rPr>
          <w:rFonts w:ascii="Times New Roman" w:eastAsia="Times New Roman" w:hAnsi="Times New Roman" w:cs="Times New Roman"/>
          <w:sz w:val="24"/>
          <w:szCs w:val="24"/>
        </w:rPr>
        <w:t>: High, driven by multiple platform options and user expectations for data privacy.</w:t>
      </w:r>
    </w:p>
    <w:p w:rsidR="000645C1" w:rsidRPr="000645C1" w:rsidRDefault="000645C1" w:rsidP="005E0482">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Threat of Substitutes</w:t>
      </w:r>
      <w:r w:rsidRPr="000645C1">
        <w:rPr>
          <w:rFonts w:ascii="Times New Roman" w:eastAsia="Times New Roman" w:hAnsi="Times New Roman" w:cs="Times New Roman"/>
          <w:sz w:val="24"/>
          <w:szCs w:val="24"/>
        </w:rPr>
        <w:t>: Low, with limited viable alternatives for remote care.</w:t>
      </w:r>
    </w:p>
    <w:p w:rsidR="000645C1" w:rsidRPr="000645C1" w:rsidRDefault="000645C1" w:rsidP="005E0482">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Competitive Rivalry</w:t>
      </w:r>
      <w:r w:rsidRPr="000645C1">
        <w:rPr>
          <w:rFonts w:ascii="Times New Roman" w:eastAsia="Times New Roman" w:hAnsi="Times New Roman" w:cs="Times New Roman"/>
          <w:sz w:val="24"/>
          <w:szCs w:val="24"/>
        </w:rPr>
        <w:t>: High, as numerous players strive to differentiate via innovation and service quality.</w:t>
      </w:r>
    </w:p>
    <w:p w:rsidR="000645C1" w:rsidRPr="000645C1" w:rsidRDefault="000645C1" w:rsidP="005E0482">
      <w:pPr>
        <w:spacing w:after="0" w:line="360" w:lineRule="auto"/>
        <w:rPr>
          <w:rFonts w:ascii="Times New Roman" w:eastAsia="Times New Roman" w:hAnsi="Times New Roman" w:cs="Times New Roman"/>
          <w:sz w:val="24"/>
          <w:szCs w:val="24"/>
        </w:rPr>
      </w:pPr>
    </w:p>
    <w:p w:rsidR="000645C1" w:rsidRDefault="000645C1" w:rsidP="005E0482">
      <w:pPr>
        <w:spacing w:before="100" w:beforeAutospacing="1" w:after="100" w:afterAutospacing="1" w:line="360" w:lineRule="auto"/>
        <w:outlineLvl w:val="1"/>
        <w:rPr>
          <w:rFonts w:ascii="Times New Roman" w:eastAsia="Times New Roman" w:hAnsi="Times New Roman" w:cs="Times New Roman"/>
          <w:b/>
          <w:bCs/>
          <w:sz w:val="24"/>
          <w:szCs w:val="24"/>
        </w:rPr>
      </w:pPr>
    </w:p>
    <w:p w:rsidR="000645C1" w:rsidRDefault="000645C1" w:rsidP="005E0482">
      <w:pPr>
        <w:spacing w:before="100" w:beforeAutospacing="1" w:after="100" w:afterAutospacing="1" w:line="360" w:lineRule="auto"/>
        <w:outlineLvl w:val="1"/>
        <w:rPr>
          <w:rFonts w:ascii="Times New Roman" w:eastAsia="Times New Roman" w:hAnsi="Times New Roman" w:cs="Times New Roman"/>
          <w:b/>
          <w:bCs/>
          <w:sz w:val="24"/>
          <w:szCs w:val="24"/>
        </w:rPr>
      </w:pPr>
    </w:p>
    <w:p w:rsidR="000645C1" w:rsidRDefault="000645C1" w:rsidP="005E0482">
      <w:pPr>
        <w:spacing w:before="100" w:beforeAutospacing="1" w:after="100" w:afterAutospacing="1" w:line="360" w:lineRule="auto"/>
        <w:outlineLvl w:val="1"/>
        <w:rPr>
          <w:rFonts w:ascii="Times New Roman" w:eastAsia="Times New Roman" w:hAnsi="Times New Roman" w:cs="Times New Roman"/>
          <w:b/>
          <w:bCs/>
          <w:sz w:val="24"/>
          <w:szCs w:val="24"/>
        </w:rPr>
      </w:pPr>
    </w:p>
    <w:p w:rsidR="000645C1" w:rsidRDefault="000645C1" w:rsidP="005E0482">
      <w:pPr>
        <w:spacing w:before="100" w:beforeAutospacing="1" w:after="100" w:afterAutospacing="1" w:line="360" w:lineRule="auto"/>
        <w:outlineLvl w:val="1"/>
        <w:rPr>
          <w:rFonts w:ascii="Times New Roman" w:eastAsia="Times New Roman" w:hAnsi="Times New Roman" w:cs="Times New Roman"/>
          <w:b/>
          <w:bCs/>
          <w:sz w:val="24"/>
          <w:szCs w:val="24"/>
        </w:rPr>
      </w:pPr>
    </w:p>
    <w:p w:rsidR="000645C1" w:rsidRDefault="000645C1" w:rsidP="005E0482">
      <w:pPr>
        <w:spacing w:before="100" w:beforeAutospacing="1" w:after="100" w:afterAutospacing="1" w:line="360" w:lineRule="auto"/>
        <w:outlineLvl w:val="1"/>
        <w:rPr>
          <w:rFonts w:ascii="Times New Roman" w:eastAsia="Times New Roman" w:hAnsi="Times New Roman" w:cs="Times New Roman"/>
          <w:b/>
          <w:bCs/>
          <w:sz w:val="24"/>
          <w:szCs w:val="24"/>
        </w:rPr>
      </w:pPr>
    </w:p>
    <w:p w:rsidR="000645C1" w:rsidRDefault="000645C1" w:rsidP="005E0482">
      <w:pPr>
        <w:spacing w:before="100" w:beforeAutospacing="1" w:after="100" w:afterAutospacing="1" w:line="360" w:lineRule="auto"/>
        <w:outlineLvl w:val="1"/>
        <w:rPr>
          <w:rFonts w:ascii="Times New Roman" w:eastAsia="Times New Roman" w:hAnsi="Times New Roman" w:cs="Times New Roman"/>
          <w:b/>
          <w:bCs/>
          <w:sz w:val="24"/>
          <w:szCs w:val="24"/>
        </w:rPr>
      </w:pPr>
    </w:p>
    <w:p w:rsidR="000645C1" w:rsidRDefault="000645C1" w:rsidP="005E0482">
      <w:pPr>
        <w:spacing w:before="100" w:beforeAutospacing="1" w:after="100" w:afterAutospacing="1" w:line="360" w:lineRule="auto"/>
        <w:outlineLvl w:val="1"/>
        <w:rPr>
          <w:rFonts w:ascii="Times New Roman" w:eastAsia="Times New Roman" w:hAnsi="Times New Roman" w:cs="Times New Roman"/>
          <w:b/>
          <w:bCs/>
          <w:sz w:val="24"/>
          <w:szCs w:val="24"/>
        </w:rPr>
      </w:pPr>
    </w:p>
    <w:p w:rsidR="000645C1" w:rsidRDefault="000645C1" w:rsidP="005E0482">
      <w:pPr>
        <w:spacing w:before="100" w:beforeAutospacing="1" w:after="100" w:afterAutospacing="1" w:line="360" w:lineRule="auto"/>
        <w:outlineLvl w:val="1"/>
        <w:rPr>
          <w:rFonts w:ascii="Times New Roman" w:eastAsia="Times New Roman" w:hAnsi="Times New Roman" w:cs="Times New Roman"/>
          <w:b/>
          <w:bCs/>
          <w:sz w:val="24"/>
          <w:szCs w:val="24"/>
        </w:rPr>
      </w:pPr>
    </w:p>
    <w:p w:rsidR="000645C1" w:rsidRDefault="000645C1" w:rsidP="005E0482">
      <w:pPr>
        <w:spacing w:before="100" w:beforeAutospacing="1" w:after="100" w:afterAutospacing="1" w:line="360" w:lineRule="auto"/>
        <w:outlineLvl w:val="1"/>
        <w:rPr>
          <w:rFonts w:ascii="Times New Roman" w:eastAsia="Times New Roman" w:hAnsi="Times New Roman" w:cs="Times New Roman"/>
          <w:b/>
          <w:bCs/>
          <w:sz w:val="24"/>
          <w:szCs w:val="24"/>
        </w:rPr>
      </w:pPr>
    </w:p>
    <w:p w:rsidR="000645C1" w:rsidRDefault="000645C1" w:rsidP="005E0482">
      <w:pPr>
        <w:spacing w:before="100" w:beforeAutospacing="1" w:after="100" w:afterAutospacing="1" w:line="360" w:lineRule="auto"/>
        <w:outlineLvl w:val="1"/>
        <w:rPr>
          <w:rFonts w:ascii="Times New Roman" w:eastAsia="Times New Roman" w:hAnsi="Times New Roman" w:cs="Times New Roman"/>
          <w:b/>
          <w:bCs/>
          <w:sz w:val="24"/>
          <w:szCs w:val="24"/>
        </w:rPr>
      </w:pPr>
    </w:p>
    <w:p w:rsidR="000645C1" w:rsidRDefault="000645C1" w:rsidP="005E0482">
      <w:pPr>
        <w:spacing w:before="100" w:beforeAutospacing="1" w:after="100" w:afterAutospacing="1" w:line="360" w:lineRule="auto"/>
        <w:outlineLvl w:val="1"/>
        <w:rPr>
          <w:rFonts w:ascii="Times New Roman" w:eastAsia="Times New Roman" w:hAnsi="Times New Roman" w:cs="Times New Roman"/>
          <w:b/>
          <w:bCs/>
          <w:sz w:val="24"/>
          <w:szCs w:val="24"/>
        </w:rPr>
      </w:pPr>
    </w:p>
    <w:p w:rsidR="000645C1" w:rsidRDefault="000645C1" w:rsidP="005E0482">
      <w:pPr>
        <w:spacing w:before="100" w:beforeAutospacing="1" w:after="100" w:afterAutospacing="1" w:line="360" w:lineRule="auto"/>
        <w:outlineLvl w:val="1"/>
        <w:rPr>
          <w:rFonts w:ascii="Times New Roman" w:eastAsia="Times New Roman" w:hAnsi="Times New Roman" w:cs="Times New Roman"/>
          <w:b/>
          <w:bCs/>
          <w:sz w:val="24"/>
          <w:szCs w:val="24"/>
        </w:rPr>
      </w:pPr>
    </w:p>
    <w:p w:rsidR="000645C1" w:rsidRDefault="000645C1" w:rsidP="005E0482">
      <w:pPr>
        <w:spacing w:before="100" w:beforeAutospacing="1" w:after="100" w:afterAutospacing="1" w:line="360" w:lineRule="auto"/>
        <w:outlineLvl w:val="1"/>
        <w:rPr>
          <w:rFonts w:ascii="Times New Roman" w:eastAsia="Times New Roman" w:hAnsi="Times New Roman" w:cs="Times New Roman"/>
          <w:b/>
          <w:bCs/>
          <w:sz w:val="24"/>
          <w:szCs w:val="24"/>
        </w:rPr>
      </w:pPr>
    </w:p>
    <w:p w:rsidR="000645C1" w:rsidRDefault="000645C1" w:rsidP="005E0482">
      <w:pPr>
        <w:spacing w:before="100" w:beforeAutospacing="1" w:after="100" w:afterAutospacing="1" w:line="360" w:lineRule="auto"/>
        <w:outlineLvl w:val="1"/>
        <w:rPr>
          <w:rFonts w:ascii="Times New Roman" w:eastAsia="Times New Roman" w:hAnsi="Times New Roman" w:cs="Times New Roman"/>
          <w:b/>
          <w:bCs/>
          <w:sz w:val="24"/>
          <w:szCs w:val="24"/>
        </w:rPr>
      </w:pPr>
    </w:p>
    <w:p w:rsidR="000645C1" w:rsidRPr="000645C1" w:rsidRDefault="000645C1" w:rsidP="005E0482">
      <w:pPr>
        <w:spacing w:before="100" w:beforeAutospacing="1" w:after="100" w:afterAutospacing="1" w:line="360" w:lineRule="auto"/>
        <w:outlineLvl w:val="1"/>
        <w:rPr>
          <w:rFonts w:ascii="Times New Roman" w:eastAsia="Times New Roman" w:hAnsi="Times New Roman" w:cs="Times New Roman"/>
          <w:b/>
          <w:bCs/>
          <w:sz w:val="24"/>
          <w:szCs w:val="24"/>
        </w:rPr>
      </w:pPr>
      <w:r w:rsidRPr="000645C1">
        <w:rPr>
          <w:rFonts w:ascii="Times New Roman" w:eastAsia="Times New Roman" w:hAnsi="Times New Roman" w:cs="Times New Roman"/>
          <w:b/>
          <w:bCs/>
          <w:sz w:val="24"/>
          <w:szCs w:val="24"/>
        </w:rPr>
        <w:t>Table of Contents</w:t>
      </w:r>
    </w:p>
    <w:p w:rsidR="000645C1" w:rsidRPr="000645C1" w:rsidRDefault="000645C1" w:rsidP="005E048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Introduction of Spain Telemedicine Market</w:t>
      </w:r>
    </w:p>
    <w:p w:rsidR="000645C1" w:rsidRPr="000645C1" w:rsidRDefault="000645C1" w:rsidP="005E048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1.1 Overview of the Market</w:t>
      </w:r>
    </w:p>
    <w:p w:rsidR="000645C1" w:rsidRPr="000645C1" w:rsidRDefault="000645C1" w:rsidP="005E048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1.2 Scope of Report</w:t>
      </w:r>
    </w:p>
    <w:p w:rsidR="000645C1" w:rsidRPr="000645C1" w:rsidRDefault="000645C1" w:rsidP="005E048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1.3 Assumptions</w:t>
      </w:r>
    </w:p>
    <w:p w:rsidR="000645C1" w:rsidRPr="000645C1" w:rsidRDefault="000645C1" w:rsidP="005E048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Executive Summary</w:t>
      </w:r>
    </w:p>
    <w:p w:rsidR="000645C1" w:rsidRPr="000645C1" w:rsidRDefault="000645C1" w:rsidP="005E048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Research Methodology</w:t>
      </w:r>
    </w:p>
    <w:p w:rsidR="000645C1" w:rsidRPr="000645C1" w:rsidRDefault="000645C1" w:rsidP="005E048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3.1 Data Mining</w:t>
      </w:r>
    </w:p>
    <w:p w:rsidR="000645C1" w:rsidRPr="000645C1" w:rsidRDefault="000645C1" w:rsidP="005E048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3.2 Validation</w:t>
      </w:r>
    </w:p>
    <w:p w:rsidR="000645C1" w:rsidRPr="000645C1" w:rsidRDefault="000645C1" w:rsidP="005E048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3.3 Primary Interviews</w:t>
      </w:r>
    </w:p>
    <w:p w:rsidR="000645C1" w:rsidRPr="000645C1" w:rsidRDefault="000645C1" w:rsidP="005E048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3.4 List of Data Sources</w:t>
      </w:r>
    </w:p>
    <w:p w:rsidR="000645C1" w:rsidRPr="000645C1" w:rsidRDefault="000645C1" w:rsidP="005E048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Spain Telemedicine Market Outlook</w:t>
      </w:r>
    </w:p>
    <w:p w:rsidR="000645C1" w:rsidRPr="000645C1" w:rsidRDefault="000645C1" w:rsidP="005E048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4.1 Market Definition</w:t>
      </w:r>
    </w:p>
    <w:p w:rsidR="000645C1" w:rsidRPr="000645C1" w:rsidRDefault="000645C1" w:rsidP="005E048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4.2 Market Overview</w:t>
      </w:r>
    </w:p>
    <w:p w:rsidR="000645C1" w:rsidRPr="000645C1" w:rsidRDefault="000645C1" w:rsidP="005E048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4.3 Porter’s Five Forces Model</w:t>
      </w:r>
    </w:p>
    <w:p w:rsidR="000645C1" w:rsidRPr="000645C1" w:rsidRDefault="000645C1" w:rsidP="005E048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4.4 Value Chain Analysis</w:t>
      </w:r>
    </w:p>
    <w:p w:rsidR="000645C1" w:rsidRPr="000645C1" w:rsidRDefault="000645C1" w:rsidP="005E048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Market, by Component</w:t>
      </w:r>
    </w:p>
    <w:p w:rsidR="000645C1" w:rsidRPr="000645C1" w:rsidRDefault="000645C1" w:rsidP="005E048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lastRenderedPageBreak/>
        <w:t>5.1 Software</w:t>
      </w:r>
    </w:p>
    <w:p w:rsidR="000645C1" w:rsidRPr="000645C1" w:rsidRDefault="000645C1" w:rsidP="005E048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5.2 Hardware</w:t>
      </w:r>
    </w:p>
    <w:p w:rsidR="000645C1" w:rsidRPr="000645C1" w:rsidRDefault="000645C1" w:rsidP="005E048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5.3 Services</w:t>
      </w:r>
    </w:p>
    <w:p w:rsidR="000645C1" w:rsidRPr="000645C1" w:rsidRDefault="000645C1" w:rsidP="005E048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Market, by Mode of Delivery</w:t>
      </w:r>
    </w:p>
    <w:p w:rsidR="000645C1" w:rsidRPr="000645C1" w:rsidRDefault="000645C1" w:rsidP="005E048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6.1 Web-based</w:t>
      </w:r>
    </w:p>
    <w:p w:rsidR="000645C1" w:rsidRPr="000645C1" w:rsidRDefault="000645C1" w:rsidP="005E048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6.2 Cloud-based</w:t>
      </w:r>
    </w:p>
    <w:p w:rsidR="000645C1" w:rsidRPr="000645C1" w:rsidRDefault="000645C1" w:rsidP="005E048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6.3 On-premise</w:t>
      </w:r>
    </w:p>
    <w:p w:rsidR="000645C1" w:rsidRPr="000645C1" w:rsidRDefault="000645C1" w:rsidP="005E048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Market, by Application</w:t>
      </w:r>
    </w:p>
    <w:p w:rsidR="000645C1" w:rsidRPr="000645C1" w:rsidRDefault="000645C1" w:rsidP="005E048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7.1 Teleradiology</w:t>
      </w:r>
    </w:p>
    <w:p w:rsidR="000645C1" w:rsidRPr="000645C1" w:rsidRDefault="000645C1" w:rsidP="005E048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7.2 Telepathology</w:t>
      </w:r>
    </w:p>
    <w:p w:rsidR="000645C1" w:rsidRPr="000645C1" w:rsidRDefault="000645C1" w:rsidP="005E048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7.3 Telecardiology</w:t>
      </w:r>
      <w:r w:rsidR="0043596D" w:rsidRPr="0043596D">
        <w:rPr>
          <w:rFonts w:ascii="Times New Roman" w:eastAsia="Times New Roman" w:hAnsi="Times New Roman" w:cs="Times New Roman"/>
          <w:noProof/>
          <w:sz w:val="24"/>
          <w:szCs w:val="24"/>
          <w:lang w:val="en-IN" w:eastAsia="en-IN"/>
        </w:rPr>
        <w:drawing>
          <wp:anchor distT="0" distB="0" distL="0" distR="0" simplePos="0" relativeHeight="251661312" behindDoc="1" locked="0" layoutInCell="1" allowOverlap="1">
            <wp:simplePos x="0" y="0"/>
            <wp:positionH relativeFrom="page">
              <wp:posOffset>-84859</wp:posOffset>
            </wp:positionH>
            <wp:positionV relativeFrom="page">
              <wp:posOffset>-90055</wp:posOffset>
            </wp:positionV>
            <wp:extent cx="10233314" cy="14450291"/>
            <wp:effectExtent l="19050" t="0" r="0" b="0"/>
            <wp:wrapNone/>
            <wp:docPr id="99"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p>
    <w:p w:rsidR="000645C1" w:rsidRPr="000645C1" w:rsidRDefault="000645C1" w:rsidP="005E048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7.4 Telepsychiatry</w:t>
      </w:r>
    </w:p>
    <w:p w:rsidR="000645C1" w:rsidRPr="000645C1" w:rsidRDefault="000645C1" w:rsidP="005E048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7.5 General Consultation</w:t>
      </w:r>
    </w:p>
    <w:p w:rsidR="000645C1" w:rsidRPr="000645C1" w:rsidRDefault="000645C1" w:rsidP="005E048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Market, by End User</w:t>
      </w:r>
    </w:p>
    <w:p w:rsidR="000645C1" w:rsidRPr="000645C1" w:rsidRDefault="000645C1" w:rsidP="005E048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8.1 Hospitals</w:t>
      </w:r>
    </w:p>
    <w:p w:rsidR="000645C1" w:rsidRPr="000645C1" w:rsidRDefault="000645C1" w:rsidP="005E048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8.2 Homecare Settings</w:t>
      </w:r>
    </w:p>
    <w:p w:rsidR="000645C1" w:rsidRPr="000645C1" w:rsidRDefault="000645C1" w:rsidP="005E048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8.3 Clinics</w:t>
      </w:r>
    </w:p>
    <w:p w:rsidR="000645C1" w:rsidRPr="000645C1" w:rsidRDefault="000645C1" w:rsidP="005E048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8.4 Others</w:t>
      </w:r>
    </w:p>
    <w:p w:rsidR="000645C1" w:rsidRPr="0043596D" w:rsidRDefault="000645C1" w:rsidP="005E048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Competitive Landscape</w:t>
      </w:r>
    </w:p>
    <w:p w:rsidR="0043596D" w:rsidRDefault="0043596D" w:rsidP="0043596D">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Overview</w:t>
      </w:r>
    </w:p>
    <w:p w:rsidR="0043596D" w:rsidRDefault="0043596D" w:rsidP="0043596D">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Company Market Rankin</w:t>
      </w:r>
    </w:p>
    <w:p w:rsidR="0043596D" w:rsidRPr="00644EA5" w:rsidRDefault="0043596D" w:rsidP="0043596D">
      <w:pPr>
        <w:numPr>
          <w:ilvl w:val="1"/>
          <w:numId w:val="8"/>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59264" behindDoc="1" locked="0" layoutInCell="1" allowOverlap="1">
            <wp:simplePos x="0" y="0"/>
            <wp:positionH relativeFrom="page">
              <wp:posOffset>-236855</wp:posOffset>
            </wp:positionH>
            <wp:positionV relativeFrom="page">
              <wp:posOffset>-241935</wp:posOffset>
            </wp:positionV>
            <wp:extent cx="10233025" cy="14450060"/>
            <wp:effectExtent l="19050" t="0" r="0" b="0"/>
            <wp:wrapNone/>
            <wp:docPr id="98"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Pr="0029567E">
        <w:rPr>
          <w:rFonts w:ascii="Times New Roman" w:eastAsia="Times New Roman" w:hAnsi="Times New Roman" w:cs="Times New Roman"/>
          <w:sz w:val="24"/>
          <w:szCs w:val="24"/>
        </w:rPr>
        <w:t>Key Development Strategies</w:t>
      </w:r>
    </w:p>
    <w:p w:rsidR="0043596D" w:rsidRPr="000645C1" w:rsidRDefault="0043596D" w:rsidP="0043596D">
      <w:pPr>
        <w:spacing w:before="100" w:beforeAutospacing="1" w:after="100" w:afterAutospacing="1" w:line="360" w:lineRule="auto"/>
        <w:rPr>
          <w:rFonts w:ascii="Times New Roman" w:eastAsia="Times New Roman" w:hAnsi="Times New Roman" w:cs="Times New Roman"/>
          <w:sz w:val="24"/>
          <w:szCs w:val="24"/>
        </w:rPr>
      </w:pPr>
    </w:p>
    <w:p w:rsidR="000645C1" w:rsidRPr="000645C1" w:rsidRDefault="000645C1" w:rsidP="005E048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Company Profiles</w:t>
      </w:r>
    </w:p>
    <w:p w:rsidR="000645C1" w:rsidRPr="000645C1" w:rsidRDefault="000645C1" w:rsidP="00B57422">
      <w:pPr>
        <w:pStyle w:val="ListParagraph"/>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10.1 Teladoc Health</w:t>
      </w:r>
      <w:r w:rsidRPr="000645C1">
        <w:rPr>
          <w:rFonts w:ascii="Times New Roman" w:eastAsia="Times New Roman" w:hAnsi="Times New Roman" w:cs="Times New Roman"/>
          <w:sz w:val="24"/>
          <w:szCs w:val="24"/>
        </w:rPr>
        <w:br/>
        <w:t>10.1.1 Overview</w:t>
      </w:r>
      <w:r w:rsidRPr="000645C1">
        <w:rPr>
          <w:rFonts w:ascii="Times New Roman" w:eastAsia="Times New Roman" w:hAnsi="Times New Roman" w:cs="Times New Roman"/>
          <w:sz w:val="24"/>
          <w:szCs w:val="24"/>
        </w:rPr>
        <w:br/>
        <w:t>10.1.2 Financial Performance</w:t>
      </w:r>
      <w:r w:rsidRPr="000645C1">
        <w:rPr>
          <w:rFonts w:ascii="Times New Roman" w:eastAsia="Times New Roman" w:hAnsi="Times New Roman" w:cs="Times New Roman"/>
          <w:sz w:val="24"/>
          <w:szCs w:val="24"/>
        </w:rPr>
        <w:br/>
        <w:t>10.1.3 Product Outlook</w:t>
      </w:r>
      <w:r w:rsidRPr="000645C1">
        <w:rPr>
          <w:rFonts w:ascii="Times New Roman" w:eastAsia="Times New Roman" w:hAnsi="Times New Roman" w:cs="Times New Roman"/>
          <w:sz w:val="24"/>
          <w:szCs w:val="24"/>
        </w:rPr>
        <w:br/>
        <w:t>10.1.4 Key Developments</w:t>
      </w:r>
    </w:p>
    <w:p w:rsidR="000645C1" w:rsidRPr="000645C1" w:rsidRDefault="000645C1" w:rsidP="00B57422">
      <w:pPr>
        <w:pStyle w:val="ListParagraph"/>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lastRenderedPageBreak/>
        <w:t>10.2 Siemens Healthineers</w:t>
      </w:r>
      <w:r w:rsidRPr="000645C1">
        <w:rPr>
          <w:rFonts w:ascii="Times New Roman" w:eastAsia="Times New Roman" w:hAnsi="Times New Roman" w:cs="Times New Roman"/>
          <w:sz w:val="24"/>
          <w:szCs w:val="24"/>
        </w:rPr>
        <w:br/>
        <w:t>10.2.1 Overview</w:t>
      </w:r>
      <w:r w:rsidRPr="000645C1">
        <w:rPr>
          <w:rFonts w:ascii="Times New Roman" w:eastAsia="Times New Roman" w:hAnsi="Times New Roman" w:cs="Times New Roman"/>
          <w:sz w:val="24"/>
          <w:szCs w:val="24"/>
        </w:rPr>
        <w:br/>
        <w:t>10.2.2 Financial Performance</w:t>
      </w:r>
      <w:r w:rsidRPr="000645C1">
        <w:rPr>
          <w:rFonts w:ascii="Times New Roman" w:eastAsia="Times New Roman" w:hAnsi="Times New Roman" w:cs="Times New Roman"/>
          <w:sz w:val="24"/>
          <w:szCs w:val="24"/>
        </w:rPr>
        <w:br/>
        <w:t>10.2.3 Product Outlook</w:t>
      </w:r>
      <w:r w:rsidRPr="000645C1">
        <w:rPr>
          <w:rFonts w:ascii="Times New Roman" w:eastAsia="Times New Roman" w:hAnsi="Times New Roman" w:cs="Times New Roman"/>
          <w:sz w:val="24"/>
          <w:szCs w:val="24"/>
        </w:rPr>
        <w:br/>
        <w:t>10.2.4 Key Developments</w:t>
      </w:r>
    </w:p>
    <w:p w:rsidR="000645C1" w:rsidRPr="000645C1" w:rsidRDefault="000645C1" w:rsidP="00B57422">
      <w:pPr>
        <w:pStyle w:val="ListParagraph"/>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10.3 Medtronic</w:t>
      </w:r>
      <w:r w:rsidRPr="000645C1">
        <w:rPr>
          <w:rFonts w:ascii="Times New Roman" w:eastAsia="Times New Roman" w:hAnsi="Times New Roman" w:cs="Times New Roman"/>
          <w:sz w:val="24"/>
          <w:szCs w:val="24"/>
        </w:rPr>
        <w:br/>
        <w:t>10.3.1 Overview</w:t>
      </w:r>
      <w:r w:rsidRPr="000645C1">
        <w:rPr>
          <w:rFonts w:ascii="Times New Roman" w:eastAsia="Times New Roman" w:hAnsi="Times New Roman" w:cs="Times New Roman"/>
          <w:sz w:val="24"/>
          <w:szCs w:val="24"/>
        </w:rPr>
        <w:br/>
        <w:t>10.3.2 Financial Performance</w:t>
      </w:r>
      <w:r w:rsidRPr="000645C1">
        <w:rPr>
          <w:rFonts w:ascii="Times New Roman" w:eastAsia="Times New Roman" w:hAnsi="Times New Roman" w:cs="Times New Roman"/>
          <w:sz w:val="24"/>
          <w:szCs w:val="24"/>
        </w:rPr>
        <w:br/>
        <w:t>10.3.3 Product Outlook</w:t>
      </w:r>
      <w:r w:rsidRPr="000645C1">
        <w:rPr>
          <w:rFonts w:ascii="Times New Roman" w:eastAsia="Times New Roman" w:hAnsi="Times New Roman" w:cs="Times New Roman"/>
          <w:sz w:val="24"/>
          <w:szCs w:val="24"/>
        </w:rPr>
        <w:br/>
        <w:t>10.3.4 Key Developments</w:t>
      </w:r>
    </w:p>
    <w:p w:rsidR="000645C1" w:rsidRPr="000645C1" w:rsidRDefault="000645C1" w:rsidP="00B57422">
      <w:pPr>
        <w:pStyle w:val="ListParagraph"/>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10.4 Doctolib</w:t>
      </w:r>
      <w:r w:rsidRPr="000645C1">
        <w:rPr>
          <w:rFonts w:ascii="Times New Roman" w:eastAsia="Times New Roman" w:hAnsi="Times New Roman" w:cs="Times New Roman"/>
          <w:sz w:val="24"/>
          <w:szCs w:val="24"/>
        </w:rPr>
        <w:br/>
        <w:t>10.4.1 Overview</w:t>
      </w:r>
      <w:r w:rsidRPr="000645C1">
        <w:rPr>
          <w:rFonts w:ascii="Times New Roman" w:eastAsia="Times New Roman" w:hAnsi="Times New Roman" w:cs="Times New Roman"/>
          <w:sz w:val="24"/>
          <w:szCs w:val="24"/>
        </w:rPr>
        <w:br/>
        <w:t>10.4.2 Financial Performance</w:t>
      </w:r>
      <w:r w:rsidRPr="000645C1">
        <w:rPr>
          <w:rFonts w:ascii="Times New Roman" w:eastAsia="Times New Roman" w:hAnsi="Times New Roman" w:cs="Times New Roman"/>
          <w:sz w:val="24"/>
          <w:szCs w:val="24"/>
        </w:rPr>
        <w:br/>
        <w:t>10.4.3 Product Outlook</w:t>
      </w:r>
      <w:r w:rsidRPr="000645C1">
        <w:rPr>
          <w:rFonts w:ascii="Times New Roman" w:eastAsia="Times New Roman" w:hAnsi="Times New Roman" w:cs="Times New Roman"/>
          <w:sz w:val="24"/>
          <w:szCs w:val="24"/>
        </w:rPr>
        <w:br/>
        <w:t>10.4.4 Key Developments</w:t>
      </w:r>
    </w:p>
    <w:p w:rsidR="000645C1" w:rsidRPr="000645C1" w:rsidRDefault="0043596D" w:rsidP="00B57422">
      <w:pPr>
        <w:pStyle w:val="ListParagraph"/>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3600" behindDoc="1" locked="0" layoutInCell="1" allowOverlap="1">
            <wp:simplePos x="0" y="0"/>
            <wp:positionH relativeFrom="page">
              <wp:posOffset>-105410</wp:posOffset>
            </wp:positionH>
            <wp:positionV relativeFrom="page">
              <wp:posOffset>-55245</wp:posOffset>
            </wp:positionV>
            <wp:extent cx="10233025" cy="14450060"/>
            <wp:effectExtent l="19050" t="0" r="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0645C1" w:rsidRPr="000645C1">
        <w:rPr>
          <w:rFonts w:ascii="Times New Roman" w:eastAsia="Times New Roman" w:hAnsi="Times New Roman" w:cs="Times New Roman"/>
          <w:b/>
          <w:bCs/>
          <w:sz w:val="24"/>
          <w:szCs w:val="24"/>
        </w:rPr>
        <w:t>10.5 Babylon Health</w:t>
      </w:r>
      <w:r w:rsidR="000645C1" w:rsidRPr="000645C1">
        <w:rPr>
          <w:rFonts w:ascii="Times New Roman" w:eastAsia="Times New Roman" w:hAnsi="Times New Roman" w:cs="Times New Roman"/>
          <w:sz w:val="24"/>
          <w:szCs w:val="24"/>
        </w:rPr>
        <w:br/>
        <w:t>10.5.1 Overview</w:t>
      </w:r>
      <w:r w:rsidR="000645C1" w:rsidRPr="000645C1">
        <w:rPr>
          <w:rFonts w:ascii="Times New Roman" w:eastAsia="Times New Roman" w:hAnsi="Times New Roman" w:cs="Times New Roman"/>
          <w:sz w:val="24"/>
          <w:szCs w:val="24"/>
        </w:rPr>
        <w:br/>
        <w:t>10.5.2 Financial Performance</w:t>
      </w:r>
      <w:r w:rsidR="000645C1" w:rsidRPr="000645C1">
        <w:rPr>
          <w:rFonts w:ascii="Times New Roman" w:eastAsia="Times New Roman" w:hAnsi="Times New Roman" w:cs="Times New Roman"/>
          <w:sz w:val="24"/>
          <w:szCs w:val="24"/>
        </w:rPr>
        <w:br/>
        <w:t>10.5.3 Product Outlook</w:t>
      </w:r>
      <w:r w:rsidR="000645C1" w:rsidRPr="000645C1">
        <w:rPr>
          <w:rFonts w:ascii="Times New Roman" w:eastAsia="Times New Roman" w:hAnsi="Times New Roman" w:cs="Times New Roman"/>
          <w:sz w:val="24"/>
          <w:szCs w:val="24"/>
        </w:rPr>
        <w:br/>
        <w:t>10.5.4 Key Developments</w:t>
      </w:r>
    </w:p>
    <w:p w:rsidR="000645C1" w:rsidRPr="000645C1" w:rsidRDefault="000645C1" w:rsidP="00B57422">
      <w:pPr>
        <w:pStyle w:val="ListParagraph"/>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10.6 Global Telemedicine Group</w:t>
      </w:r>
      <w:r w:rsidRPr="000645C1">
        <w:rPr>
          <w:rFonts w:ascii="Times New Roman" w:eastAsia="Times New Roman" w:hAnsi="Times New Roman" w:cs="Times New Roman"/>
          <w:sz w:val="24"/>
          <w:szCs w:val="24"/>
        </w:rPr>
        <w:br/>
        <w:t>10.6.1 Overview</w:t>
      </w:r>
      <w:r w:rsidRPr="000645C1">
        <w:rPr>
          <w:rFonts w:ascii="Times New Roman" w:eastAsia="Times New Roman" w:hAnsi="Times New Roman" w:cs="Times New Roman"/>
          <w:sz w:val="24"/>
          <w:szCs w:val="24"/>
        </w:rPr>
        <w:br/>
        <w:t>10.6.2 Financial Performance</w:t>
      </w:r>
      <w:r w:rsidRPr="000645C1">
        <w:rPr>
          <w:rFonts w:ascii="Times New Roman" w:eastAsia="Times New Roman" w:hAnsi="Times New Roman" w:cs="Times New Roman"/>
          <w:sz w:val="24"/>
          <w:szCs w:val="24"/>
        </w:rPr>
        <w:br/>
        <w:t>10.6.3 Product Outlook</w:t>
      </w:r>
      <w:r w:rsidRPr="000645C1">
        <w:rPr>
          <w:rFonts w:ascii="Times New Roman" w:eastAsia="Times New Roman" w:hAnsi="Times New Roman" w:cs="Times New Roman"/>
          <w:sz w:val="24"/>
          <w:szCs w:val="24"/>
        </w:rPr>
        <w:br/>
        <w:t>10.6.4 Key Developments</w:t>
      </w:r>
    </w:p>
    <w:p w:rsidR="000645C1" w:rsidRPr="000645C1" w:rsidRDefault="000645C1" w:rsidP="00B57422">
      <w:pPr>
        <w:pStyle w:val="ListParagraph"/>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10.7 Ever Health</w:t>
      </w:r>
      <w:r w:rsidRPr="000645C1">
        <w:rPr>
          <w:rFonts w:ascii="Times New Roman" w:eastAsia="Times New Roman" w:hAnsi="Times New Roman" w:cs="Times New Roman"/>
          <w:sz w:val="24"/>
          <w:szCs w:val="24"/>
        </w:rPr>
        <w:br/>
        <w:t>10.7.1 Overview</w:t>
      </w:r>
      <w:r w:rsidRPr="000645C1">
        <w:rPr>
          <w:rFonts w:ascii="Times New Roman" w:eastAsia="Times New Roman" w:hAnsi="Times New Roman" w:cs="Times New Roman"/>
          <w:sz w:val="24"/>
          <w:szCs w:val="24"/>
        </w:rPr>
        <w:br/>
        <w:t>10.7.2 Financial Performance</w:t>
      </w:r>
      <w:r w:rsidRPr="000645C1">
        <w:rPr>
          <w:rFonts w:ascii="Times New Roman" w:eastAsia="Times New Roman" w:hAnsi="Times New Roman" w:cs="Times New Roman"/>
          <w:sz w:val="24"/>
          <w:szCs w:val="24"/>
        </w:rPr>
        <w:br/>
        <w:t>10.7.3 Product Outlook</w:t>
      </w:r>
      <w:r w:rsidRPr="000645C1">
        <w:rPr>
          <w:rFonts w:ascii="Times New Roman" w:eastAsia="Times New Roman" w:hAnsi="Times New Roman" w:cs="Times New Roman"/>
          <w:sz w:val="24"/>
          <w:szCs w:val="24"/>
        </w:rPr>
        <w:br/>
        <w:t>10.7.4 Key Developments</w:t>
      </w:r>
    </w:p>
    <w:p w:rsidR="000645C1" w:rsidRPr="000645C1" w:rsidRDefault="000645C1" w:rsidP="00B57422">
      <w:pPr>
        <w:pStyle w:val="ListParagraph"/>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lastRenderedPageBreak/>
        <w:t>10.8 VIVIA Telemedicine</w:t>
      </w:r>
      <w:r w:rsidRPr="000645C1">
        <w:rPr>
          <w:rFonts w:ascii="Times New Roman" w:eastAsia="Times New Roman" w:hAnsi="Times New Roman" w:cs="Times New Roman"/>
          <w:sz w:val="24"/>
          <w:szCs w:val="24"/>
        </w:rPr>
        <w:br/>
        <w:t>10.8.1 Overview</w:t>
      </w:r>
      <w:r w:rsidRPr="000645C1">
        <w:rPr>
          <w:rFonts w:ascii="Times New Roman" w:eastAsia="Times New Roman" w:hAnsi="Times New Roman" w:cs="Times New Roman"/>
          <w:sz w:val="24"/>
          <w:szCs w:val="24"/>
        </w:rPr>
        <w:br/>
        <w:t>10.8.2 Financial Performance</w:t>
      </w:r>
      <w:r w:rsidRPr="000645C1">
        <w:rPr>
          <w:rFonts w:ascii="Times New Roman" w:eastAsia="Times New Roman" w:hAnsi="Times New Roman" w:cs="Times New Roman"/>
          <w:sz w:val="24"/>
          <w:szCs w:val="24"/>
        </w:rPr>
        <w:br/>
        <w:t>10.8.3 Product Outlook</w:t>
      </w:r>
      <w:r w:rsidRPr="000645C1">
        <w:rPr>
          <w:rFonts w:ascii="Times New Roman" w:eastAsia="Times New Roman" w:hAnsi="Times New Roman" w:cs="Times New Roman"/>
          <w:sz w:val="24"/>
          <w:szCs w:val="24"/>
        </w:rPr>
        <w:br/>
        <w:t>10.8.4 Key Developments</w:t>
      </w:r>
    </w:p>
    <w:p w:rsidR="000645C1" w:rsidRPr="000645C1" w:rsidRDefault="000645C1" w:rsidP="00B57422">
      <w:pPr>
        <w:pStyle w:val="ListParagraph"/>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10.9 Infermedica</w:t>
      </w:r>
      <w:r w:rsidRPr="000645C1">
        <w:rPr>
          <w:rFonts w:ascii="Times New Roman" w:eastAsia="Times New Roman" w:hAnsi="Times New Roman" w:cs="Times New Roman"/>
          <w:sz w:val="24"/>
          <w:szCs w:val="24"/>
        </w:rPr>
        <w:br/>
        <w:t>10.9.1 Overview</w:t>
      </w:r>
      <w:r w:rsidRPr="000645C1">
        <w:rPr>
          <w:rFonts w:ascii="Times New Roman" w:eastAsia="Times New Roman" w:hAnsi="Times New Roman" w:cs="Times New Roman"/>
          <w:sz w:val="24"/>
          <w:szCs w:val="24"/>
        </w:rPr>
        <w:br/>
        <w:t>10.9.2 Financial Performance</w:t>
      </w:r>
      <w:r w:rsidRPr="000645C1">
        <w:rPr>
          <w:rFonts w:ascii="Times New Roman" w:eastAsia="Times New Roman" w:hAnsi="Times New Roman" w:cs="Times New Roman"/>
          <w:sz w:val="24"/>
          <w:szCs w:val="24"/>
        </w:rPr>
        <w:br/>
        <w:t>10.9.3 Product Outlook</w:t>
      </w:r>
      <w:r w:rsidRPr="000645C1">
        <w:rPr>
          <w:rFonts w:ascii="Times New Roman" w:eastAsia="Times New Roman" w:hAnsi="Times New Roman" w:cs="Times New Roman"/>
          <w:sz w:val="24"/>
          <w:szCs w:val="24"/>
        </w:rPr>
        <w:br/>
        <w:t>10.9.4 Key Developments</w:t>
      </w:r>
    </w:p>
    <w:p w:rsidR="000645C1" w:rsidRPr="000645C1" w:rsidRDefault="000645C1" w:rsidP="00B57422">
      <w:pPr>
        <w:pStyle w:val="ListParagraph"/>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10.10 Savana</w:t>
      </w:r>
      <w:r w:rsidRPr="000645C1">
        <w:rPr>
          <w:rFonts w:ascii="Times New Roman" w:eastAsia="Times New Roman" w:hAnsi="Times New Roman" w:cs="Times New Roman"/>
          <w:sz w:val="24"/>
          <w:szCs w:val="24"/>
        </w:rPr>
        <w:br/>
        <w:t>10.10.1 Overview</w:t>
      </w:r>
      <w:r w:rsidRPr="000645C1">
        <w:rPr>
          <w:rFonts w:ascii="Times New Roman" w:eastAsia="Times New Roman" w:hAnsi="Times New Roman" w:cs="Times New Roman"/>
          <w:sz w:val="24"/>
          <w:szCs w:val="24"/>
        </w:rPr>
        <w:br/>
        <w:t>10.10.2 Financial Performance</w:t>
      </w:r>
      <w:r w:rsidRPr="000645C1">
        <w:rPr>
          <w:rFonts w:ascii="Times New Roman" w:eastAsia="Times New Roman" w:hAnsi="Times New Roman" w:cs="Times New Roman"/>
          <w:sz w:val="24"/>
          <w:szCs w:val="24"/>
        </w:rPr>
        <w:br/>
        <w:t>10.10.3 Product Outlook</w:t>
      </w:r>
      <w:r w:rsidRPr="000645C1">
        <w:rPr>
          <w:rFonts w:ascii="Times New Roman" w:eastAsia="Times New Roman" w:hAnsi="Times New Roman" w:cs="Times New Roman"/>
          <w:sz w:val="24"/>
          <w:szCs w:val="24"/>
        </w:rPr>
        <w:br/>
        <w:t>10.10.4 Key Developments</w:t>
      </w:r>
    </w:p>
    <w:p w:rsidR="000645C1" w:rsidRPr="000645C1" w:rsidRDefault="0043596D" w:rsidP="00B57422">
      <w:pPr>
        <w:pStyle w:val="ListParagraph"/>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5648" behindDoc="1" locked="0" layoutInCell="1" allowOverlap="1">
            <wp:simplePos x="0" y="0"/>
            <wp:positionH relativeFrom="page">
              <wp:posOffset>-209550</wp:posOffset>
            </wp:positionH>
            <wp:positionV relativeFrom="page">
              <wp:posOffset>-152400</wp:posOffset>
            </wp:positionV>
            <wp:extent cx="10233025" cy="14450060"/>
            <wp:effectExtent l="19050" t="0" r="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0645C1" w:rsidRPr="000645C1">
        <w:rPr>
          <w:rFonts w:ascii="Times New Roman" w:eastAsia="Times New Roman" w:hAnsi="Times New Roman" w:cs="Times New Roman"/>
          <w:b/>
          <w:bCs/>
          <w:sz w:val="24"/>
          <w:szCs w:val="24"/>
        </w:rPr>
        <w:t>10.11 Cisco Systems, Inc.</w:t>
      </w:r>
      <w:r w:rsidR="000645C1" w:rsidRPr="000645C1">
        <w:rPr>
          <w:rFonts w:ascii="Times New Roman" w:eastAsia="Times New Roman" w:hAnsi="Times New Roman" w:cs="Times New Roman"/>
          <w:sz w:val="24"/>
          <w:szCs w:val="24"/>
        </w:rPr>
        <w:br/>
        <w:t>10.11.1 Overview</w:t>
      </w:r>
      <w:r w:rsidR="000645C1" w:rsidRPr="000645C1">
        <w:rPr>
          <w:rFonts w:ascii="Times New Roman" w:eastAsia="Times New Roman" w:hAnsi="Times New Roman" w:cs="Times New Roman"/>
          <w:sz w:val="24"/>
          <w:szCs w:val="24"/>
        </w:rPr>
        <w:br/>
        <w:t>10.11.2 Financial Performance</w:t>
      </w:r>
      <w:r w:rsidR="000645C1" w:rsidRPr="000645C1">
        <w:rPr>
          <w:rFonts w:ascii="Times New Roman" w:eastAsia="Times New Roman" w:hAnsi="Times New Roman" w:cs="Times New Roman"/>
          <w:sz w:val="24"/>
          <w:szCs w:val="24"/>
        </w:rPr>
        <w:br/>
        <w:t>10.11.3 Product Outlook</w:t>
      </w:r>
      <w:r w:rsidR="000645C1" w:rsidRPr="000645C1">
        <w:rPr>
          <w:rFonts w:ascii="Times New Roman" w:eastAsia="Times New Roman" w:hAnsi="Times New Roman" w:cs="Times New Roman"/>
          <w:sz w:val="24"/>
          <w:szCs w:val="24"/>
        </w:rPr>
        <w:br/>
        <w:t>10.11.4 Key Developments</w:t>
      </w:r>
    </w:p>
    <w:p w:rsidR="000645C1" w:rsidRPr="000645C1" w:rsidRDefault="000645C1" w:rsidP="00B57422">
      <w:pPr>
        <w:pStyle w:val="ListParagraph"/>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10.12 eConsult</w:t>
      </w:r>
      <w:r w:rsidRPr="000645C1">
        <w:rPr>
          <w:rFonts w:ascii="Times New Roman" w:eastAsia="Times New Roman" w:hAnsi="Times New Roman" w:cs="Times New Roman"/>
          <w:sz w:val="24"/>
          <w:szCs w:val="24"/>
        </w:rPr>
        <w:br/>
        <w:t>10.12.1 Overview</w:t>
      </w:r>
      <w:r w:rsidRPr="000645C1">
        <w:rPr>
          <w:rFonts w:ascii="Times New Roman" w:eastAsia="Times New Roman" w:hAnsi="Times New Roman" w:cs="Times New Roman"/>
          <w:sz w:val="24"/>
          <w:szCs w:val="24"/>
        </w:rPr>
        <w:br/>
        <w:t>10.12.2 Financial Performance</w:t>
      </w:r>
      <w:r w:rsidRPr="000645C1">
        <w:rPr>
          <w:rFonts w:ascii="Times New Roman" w:eastAsia="Times New Roman" w:hAnsi="Times New Roman" w:cs="Times New Roman"/>
          <w:sz w:val="24"/>
          <w:szCs w:val="24"/>
        </w:rPr>
        <w:br/>
        <w:t>10.12.3 Product Outlook</w:t>
      </w:r>
      <w:r w:rsidRPr="000645C1">
        <w:rPr>
          <w:rFonts w:ascii="Times New Roman" w:eastAsia="Times New Roman" w:hAnsi="Times New Roman" w:cs="Times New Roman"/>
          <w:sz w:val="24"/>
          <w:szCs w:val="24"/>
        </w:rPr>
        <w:br/>
        <w:t>10.12.4 Key Developments</w:t>
      </w:r>
    </w:p>
    <w:p w:rsidR="000645C1" w:rsidRPr="000645C1" w:rsidRDefault="000645C1" w:rsidP="00B57422">
      <w:pPr>
        <w:pStyle w:val="ListParagraph"/>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10.13 Docline</w:t>
      </w:r>
      <w:r w:rsidRPr="000645C1">
        <w:rPr>
          <w:rFonts w:ascii="Times New Roman" w:eastAsia="Times New Roman" w:hAnsi="Times New Roman" w:cs="Times New Roman"/>
          <w:sz w:val="24"/>
          <w:szCs w:val="24"/>
        </w:rPr>
        <w:br/>
        <w:t>10.13.1 Overview</w:t>
      </w:r>
      <w:r w:rsidRPr="000645C1">
        <w:rPr>
          <w:rFonts w:ascii="Times New Roman" w:eastAsia="Times New Roman" w:hAnsi="Times New Roman" w:cs="Times New Roman"/>
          <w:sz w:val="24"/>
          <w:szCs w:val="24"/>
        </w:rPr>
        <w:br/>
        <w:t>10.13.2 Financial Performance</w:t>
      </w:r>
      <w:r w:rsidRPr="000645C1">
        <w:rPr>
          <w:rFonts w:ascii="Times New Roman" w:eastAsia="Times New Roman" w:hAnsi="Times New Roman" w:cs="Times New Roman"/>
          <w:sz w:val="24"/>
          <w:szCs w:val="24"/>
        </w:rPr>
        <w:br/>
        <w:t>10.13.3 Product Outlook</w:t>
      </w:r>
      <w:r w:rsidRPr="000645C1">
        <w:rPr>
          <w:rFonts w:ascii="Times New Roman" w:eastAsia="Times New Roman" w:hAnsi="Times New Roman" w:cs="Times New Roman"/>
          <w:sz w:val="24"/>
          <w:szCs w:val="24"/>
        </w:rPr>
        <w:br/>
        <w:t>10.13.4 Key Developments</w:t>
      </w:r>
    </w:p>
    <w:p w:rsidR="000645C1" w:rsidRPr="000645C1" w:rsidRDefault="000645C1" w:rsidP="005E0482">
      <w:pPr>
        <w:spacing w:before="100" w:beforeAutospacing="1" w:after="100" w:afterAutospacing="1" w:line="360" w:lineRule="auto"/>
        <w:ind w:left="720"/>
        <w:rPr>
          <w:rFonts w:ascii="Times New Roman" w:eastAsia="Times New Roman" w:hAnsi="Times New Roman" w:cs="Times New Roman"/>
          <w:sz w:val="24"/>
          <w:szCs w:val="24"/>
        </w:rPr>
      </w:pPr>
    </w:p>
    <w:p w:rsidR="000645C1" w:rsidRPr="006E7881" w:rsidRDefault="000645C1" w:rsidP="005E048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Key Developments</w:t>
      </w:r>
    </w:p>
    <w:p w:rsidR="006E7881" w:rsidRPr="007441C4" w:rsidRDefault="006E7881" w:rsidP="007441C4">
      <w:pPr>
        <w:pStyle w:val="ListParagraph"/>
        <w:numPr>
          <w:ilvl w:val="2"/>
          <w:numId w:val="12"/>
        </w:numPr>
        <w:spacing w:before="100" w:beforeAutospacing="1" w:after="100" w:afterAutospacing="1" w:line="360" w:lineRule="auto"/>
        <w:ind w:left="993" w:hanging="284"/>
        <w:rPr>
          <w:rFonts w:ascii="Times New Roman" w:eastAsia="Times New Roman" w:hAnsi="Times New Roman" w:cs="Times New Roman"/>
          <w:sz w:val="24"/>
          <w:szCs w:val="24"/>
        </w:rPr>
      </w:pPr>
      <w:r w:rsidRPr="007441C4">
        <w:rPr>
          <w:rFonts w:ascii="Times New Roman" w:eastAsia="Times New Roman" w:hAnsi="Times New Roman" w:cs="Times New Roman"/>
          <w:sz w:val="24"/>
          <w:szCs w:val="24"/>
        </w:rPr>
        <w:t>Product Launches/Developments</w:t>
      </w:r>
    </w:p>
    <w:p w:rsidR="006E7881" w:rsidRPr="007441C4" w:rsidRDefault="006E7881" w:rsidP="007441C4">
      <w:pPr>
        <w:pStyle w:val="ListParagraph"/>
        <w:numPr>
          <w:ilvl w:val="2"/>
          <w:numId w:val="12"/>
        </w:numPr>
        <w:spacing w:before="100" w:beforeAutospacing="1" w:after="100" w:afterAutospacing="1" w:line="360" w:lineRule="auto"/>
        <w:ind w:left="993"/>
        <w:rPr>
          <w:rFonts w:ascii="Times New Roman" w:eastAsia="Times New Roman" w:hAnsi="Times New Roman" w:cs="Times New Roman"/>
          <w:sz w:val="24"/>
          <w:szCs w:val="24"/>
        </w:rPr>
      </w:pPr>
      <w:r w:rsidRPr="007441C4">
        <w:rPr>
          <w:rFonts w:ascii="Times New Roman" w:eastAsia="Times New Roman" w:hAnsi="Times New Roman" w:cs="Times New Roman"/>
          <w:sz w:val="24"/>
          <w:szCs w:val="24"/>
        </w:rPr>
        <w:t>Mergers and Acquisitions</w:t>
      </w:r>
    </w:p>
    <w:p w:rsidR="006E7881" w:rsidRPr="007441C4" w:rsidRDefault="006E7881" w:rsidP="007441C4">
      <w:pPr>
        <w:pStyle w:val="ListParagraph"/>
        <w:numPr>
          <w:ilvl w:val="2"/>
          <w:numId w:val="12"/>
        </w:numPr>
        <w:spacing w:before="100" w:beforeAutospacing="1" w:after="100" w:afterAutospacing="1" w:line="360" w:lineRule="auto"/>
        <w:ind w:left="993"/>
        <w:rPr>
          <w:rFonts w:ascii="Times New Roman" w:eastAsia="Times New Roman" w:hAnsi="Times New Roman" w:cs="Times New Roman"/>
          <w:sz w:val="24"/>
          <w:szCs w:val="24"/>
        </w:rPr>
      </w:pPr>
      <w:r w:rsidRPr="007441C4">
        <w:rPr>
          <w:rFonts w:ascii="Times New Roman" w:eastAsia="Times New Roman" w:hAnsi="Times New Roman" w:cs="Times New Roman"/>
          <w:sz w:val="24"/>
          <w:szCs w:val="24"/>
        </w:rPr>
        <w:t>Business Expansions</w:t>
      </w:r>
    </w:p>
    <w:p w:rsidR="006E7881" w:rsidRPr="000645C1" w:rsidRDefault="006E7881" w:rsidP="006E7881">
      <w:pPr>
        <w:spacing w:before="100" w:beforeAutospacing="1" w:after="100" w:afterAutospacing="1" w:line="360" w:lineRule="auto"/>
        <w:ind w:left="720"/>
        <w:rPr>
          <w:rFonts w:ascii="Times New Roman" w:eastAsia="Times New Roman" w:hAnsi="Times New Roman" w:cs="Times New Roman"/>
          <w:sz w:val="24"/>
          <w:szCs w:val="24"/>
        </w:rPr>
      </w:pPr>
    </w:p>
    <w:p w:rsidR="000645C1" w:rsidRPr="000645C1" w:rsidRDefault="000645C1" w:rsidP="005E048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b/>
          <w:bCs/>
          <w:sz w:val="24"/>
          <w:szCs w:val="24"/>
        </w:rPr>
        <w:t>Appendix</w:t>
      </w:r>
    </w:p>
    <w:p w:rsidR="00CA0B1D" w:rsidRPr="006E7881" w:rsidRDefault="000645C1" w:rsidP="005E0482">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0645C1">
        <w:rPr>
          <w:rFonts w:ascii="Times New Roman" w:eastAsia="Times New Roman" w:hAnsi="Times New Roman" w:cs="Times New Roman"/>
          <w:sz w:val="24"/>
          <w:szCs w:val="24"/>
        </w:rPr>
        <w:t>12.1 Related Research</w:t>
      </w:r>
    </w:p>
    <w:sectPr w:rsidR="00CA0B1D" w:rsidRPr="006E7881" w:rsidSect="00CA0B1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B8E" w:rsidRDefault="00D86B8E" w:rsidP="006E7881">
      <w:pPr>
        <w:spacing w:after="0" w:line="240" w:lineRule="auto"/>
      </w:pPr>
      <w:r>
        <w:separator/>
      </w:r>
    </w:p>
  </w:endnote>
  <w:endnote w:type="continuationSeparator" w:id="0">
    <w:p w:rsidR="00D86B8E" w:rsidRDefault="00D86B8E" w:rsidP="006E7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B8E" w:rsidRDefault="00D86B8E" w:rsidP="006E7881">
      <w:pPr>
        <w:spacing w:after="0" w:line="240" w:lineRule="auto"/>
      </w:pPr>
      <w:r>
        <w:separator/>
      </w:r>
    </w:p>
  </w:footnote>
  <w:footnote w:type="continuationSeparator" w:id="0">
    <w:p w:rsidR="00D86B8E" w:rsidRDefault="00D86B8E" w:rsidP="006E7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A783D"/>
    <w:multiLevelType w:val="multilevel"/>
    <w:tmpl w:val="286E5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6F242E"/>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74464"/>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141B3"/>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D7C84"/>
    <w:multiLevelType w:val="multilevel"/>
    <w:tmpl w:val="3774A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5E4584"/>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720555"/>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D50710"/>
    <w:multiLevelType w:val="multilevel"/>
    <w:tmpl w:val="5B1A7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2664A0"/>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3A05B7"/>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E8042F"/>
    <w:multiLevelType w:val="hybridMultilevel"/>
    <w:tmpl w:val="500E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521184"/>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9"/>
  </w:num>
  <w:num w:numId="5">
    <w:abstractNumId w:val="11"/>
  </w:num>
  <w:num w:numId="6">
    <w:abstractNumId w:val="6"/>
  </w:num>
  <w:num w:numId="7">
    <w:abstractNumId w:val="5"/>
  </w:num>
  <w:num w:numId="8">
    <w:abstractNumId w:val="4"/>
  </w:num>
  <w:num w:numId="9">
    <w:abstractNumId w:val="8"/>
  </w:num>
  <w:num w:numId="10">
    <w:abstractNumId w:val="7"/>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645C1"/>
    <w:rsid w:val="000645C1"/>
    <w:rsid w:val="00145443"/>
    <w:rsid w:val="00382362"/>
    <w:rsid w:val="0043596D"/>
    <w:rsid w:val="005E0482"/>
    <w:rsid w:val="006E7881"/>
    <w:rsid w:val="007441C4"/>
    <w:rsid w:val="00B57422"/>
    <w:rsid w:val="00CA0B1D"/>
    <w:rsid w:val="00D86B8E"/>
    <w:rsid w:val="00FF0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3395"/>
  <w15:docId w15:val="{D866E945-2268-4E3C-A9F3-DF708DA55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paragraph" w:styleId="Heading1">
    <w:name w:val="heading 1"/>
    <w:basedOn w:val="Normal"/>
    <w:link w:val="Heading1Char"/>
    <w:uiPriority w:val="9"/>
    <w:qFormat/>
    <w:rsid w:val="000645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45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45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5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45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45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645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45C1"/>
    <w:rPr>
      <w:b/>
      <w:bCs/>
    </w:rPr>
  </w:style>
  <w:style w:type="paragraph" w:styleId="ListParagraph">
    <w:name w:val="List Paragraph"/>
    <w:basedOn w:val="Normal"/>
    <w:uiPriority w:val="34"/>
    <w:qFormat/>
    <w:rsid w:val="000645C1"/>
    <w:pPr>
      <w:ind w:left="720"/>
      <w:contextualSpacing/>
    </w:pPr>
  </w:style>
  <w:style w:type="paragraph" w:styleId="Header">
    <w:name w:val="header"/>
    <w:basedOn w:val="Normal"/>
    <w:link w:val="HeaderChar"/>
    <w:uiPriority w:val="99"/>
    <w:semiHidden/>
    <w:unhideWhenUsed/>
    <w:rsid w:val="006E78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7881"/>
  </w:style>
  <w:style w:type="paragraph" w:styleId="Footer">
    <w:name w:val="footer"/>
    <w:basedOn w:val="Normal"/>
    <w:link w:val="FooterChar"/>
    <w:uiPriority w:val="99"/>
    <w:semiHidden/>
    <w:unhideWhenUsed/>
    <w:rsid w:val="006E78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7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882961">
      <w:bodyDiv w:val="1"/>
      <w:marLeft w:val="0"/>
      <w:marRight w:val="0"/>
      <w:marTop w:val="0"/>
      <w:marBottom w:val="0"/>
      <w:divBdr>
        <w:top w:val="none" w:sz="0" w:space="0" w:color="auto"/>
        <w:left w:val="none" w:sz="0" w:space="0" w:color="auto"/>
        <w:bottom w:val="none" w:sz="0" w:space="0" w:color="auto"/>
        <w:right w:val="none" w:sz="0" w:space="0" w:color="auto"/>
      </w:divBdr>
      <w:divsChild>
        <w:div w:id="695885303">
          <w:marLeft w:val="0"/>
          <w:marRight w:val="0"/>
          <w:marTop w:val="0"/>
          <w:marBottom w:val="0"/>
          <w:divBdr>
            <w:top w:val="none" w:sz="0" w:space="0" w:color="auto"/>
            <w:left w:val="none" w:sz="0" w:space="0" w:color="auto"/>
            <w:bottom w:val="none" w:sz="0" w:space="0" w:color="auto"/>
            <w:right w:val="none" w:sz="0" w:space="0" w:color="auto"/>
          </w:divBdr>
        </w:div>
        <w:div w:id="1809470795">
          <w:marLeft w:val="0"/>
          <w:marRight w:val="0"/>
          <w:marTop w:val="0"/>
          <w:marBottom w:val="0"/>
          <w:divBdr>
            <w:top w:val="none" w:sz="0" w:space="0" w:color="auto"/>
            <w:left w:val="none" w:sz="0" w:space="0" w:color="auto"/>
            <w:bottom w:val="none" w:sz="0" w:space="0" w:color="auto"/>
            <w:right w:val="none" w:sz="0" w:space="0" w:color="auto"/>
          </w:divBdr>
        </w:div>
        <w:div w:id="1572617295">
          <w:marLeft w:val="0"/>
          <w:marRight w:val="0"/>
          <w:marTop w:val="0"/>
          <w:marBottom w:val="0"/>
          <w:divBdr>
            <w:top w:val="none" w:sz="0" w:space="0" w:color="auto"/>
            <w:left w:val="none" w:sz="0" w:space="0" w:color="auto"/>
            <w:bottom w:val="none" w:sz="0" w:space="0" w:color="auto"/>
            <w:right w:val="none" w:sz="0" w:space="0" w:color="auto"/>
          </w:divBdr>
        </w:div>
        <w:div w:id="784539496">
          <w:marLeft w:val="0"/>
          <w:marRight w:val="0"/>
          <w:marTop w:val="0"/>
          <w:marBottom w:val="0"/>
          <w:divBdr>
            <w:top w:val="none" w:sz="0" w:space="0" w:color="auto"/>
            <w:left w:val="none" w:sz="0" w:space="0" w:color="auto"/>
            <w:bottom w:val="none" w:sz="0" w:space="0" w:color="auto"/>
            <w:right w:val="none" w:sz="0" w:space="0" w:color="auto"/>
          </w:divBdr>
        </w:div>
        <w:div w:id="618336703">
          <w:marLeft w:val="0"/>
          <w:marRight w:val="0"/>
          <w:marTop w:val="0"/>
          <w:marBottom w:val="0"/>
          <w:divBdr>
            <w:top w:val="none" w:sz="0" w:space="0" w:color="auto"/>
            <w:left w:val="none" w:sz="0" w:space="0" w:color="auto"/>
            <w:bottom w:val="none" w:sz="0" w:space="0" w:color="auto"/>
            <w:right w:val="none" w:sz="0" w:space="0" w:color="auto"/>
          </w:divBdr>
        </w:div>
        <w:div w:id="1293705717">
          <w:marLeft w:val="0"/>
          <w:marRight w:val="0"/>
          <w:marTop w:val="0"/>
          <w:marBottom w:val="0"/>
          <w:divBdr>
            <w:top w:val="none" w:sz="0" w:space="0" w:color="auto"/>
            <w:left w:val="none" w:sz="0" w:space="0" w:color="auto"/>
            <w:bottom w:val="none" w:sz="0" w:space="0" w:color="auto"/>
            <w:right w:val="none" w:sz="0" w:space="0" w:color="auto"/>
          </w:divBdr>
        </w:div>
        <w:div w:id="700712048">
          <w:marLeft w:val="0"/>
          <w:marRight w:val="0"/>
          <w:marTop w:val="0"/>
          <w:marBottom w:val="0"/>
          <w:divBdr>
            <w:top w:val="none" w:sz="0" w:space="0" w:color="auto"/>
            <w:left w:val="none" w:sz="0" w:space="0" w:color="auto"/>
            <w:bottom w:val="none" w:sz="0" w:space="0" w:color="auto"/>
            <w:right w:val="none" w:sz="0" w:space="0" w:color="auto"/>
          </w:divBdr>
        </w:div>
        <w:div w:id="405149399">
          <w:marLeft w:val="0"/>
          <w:marRight w:val="0"/>
          <w:marTop w:val="0"/>
          <w:marBottom w:val="0"/>
          <w:divBdr>
            <w:top w:val="none" w:sz="0" w:space="0" w:color="auto"/>
            <w:left w:val="none" w:sz="0" w:space="0" w:color="auto"/>
            <w:bottom w:val="none" w:sz="0" w:space="0" w:color="auto"/>
            <w:right w:val="none" w:sz="0" w:space="0" w:color="auto"/>
          </w:divBdr>
        </w:div>
      </w:divsChild>
    </w:div>
    <w:div w:id="147437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7</cp:revision>
  <dcterms:created xsi:type="dcterms:W3CDTF">2025-05-01T03:29:00Z</dcterms:created>
  <dcterms:modified xsi:type="dcterms:W3CDTF">2025-05-18T17:26:00Z</dcterms:modified>
</cp:coreProperties>
</file>