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BDD" w:rsidRDefault="002F4051">
      <w:p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-55244</wp:posOffset>
            </wp:positionH>
            <wp:positionV relativeFrom="page">
              <wp:posOffset>-1413509</wp:posOffset>
            </wp:positionV>
            <wp:extent cx="10222230" cy="14455140"/>
            <wp:effectExtent l="0" t="0" r="0" b="0"/>
            <wp:wrapNone/>
            <wp:docPr id="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UK DIAGNOSTIC IMAGING DEVICES MARKET</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proofErr w:type="spellStart"/>
      <w:r>
        <w:rPr>
          <w:rFonts w:ascii="Times New Roman" w:eastAsia="Times New Roman" w:hAnsi="Times New Roman" w:cs="Times New Roman"/>
          <w:color w:val="000000"/>
          <w:sz w:val="24"/>
          <w:szCs w:val="24"/>
        </w:rPr>
        <w:t>Intelli</w:t>
      </w:r>
      <w:proofErr w:type="spellEnd"/>
      <w:r>
        <w:rPr>
          <w:rFonts w:ascii="Times New Roman" w:eastAsia="Times New Roman" w:hAnsi="Times New Roman" w:cs="Times New Roman"/>
          <w:color w:val="000000"/>
          <w:sz w:val="24"/>
          <w:szCs w:val="24"/>
        </w:rPr>
        <w:t>, the UK diagnostic imaging devices market was valued at USD 1,840 million in 2024 and is projected to reach USD 2695.61 million by 2032, growing at a CAGR of 5.79% from 2024 to 2032.</w:t>
      </w:r>
    </w:p>
    <w:p w:rsidR="00A15CDF" w:rsidRDefault="00A15CDF">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lang w:val="en-IN"/>
        </w:rPr>
        <w:drawing>
          <wp:inline distT="0" distB="0" distL="0" distR="0">
            <wp:extent cx="5943600" cy="2988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bookmarkEnd w:id="0"/>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UK diagnostic imaging devices market is witnessing stable growth due to increasing demand for early and accurate diagnosis, technological innovations in imaging modalities, and the rising prevalence of chronic diseases such as cancer, cardiovascular, a</w:t>
      </w:r>
      <w:r>
        <w:rPr>
          <w:rFonts w:ascii="Times New Roman" w:eastAsia="Times New Roman" w:hAnsi="Times New Roman" w:cs="Times New Roman"/>
          <w:color w:val="000000"/>
          <w:sz w:val="24"/>
          <w:szCs w:val="24"/>
        </w:rPr>
        <w:t>nd neurological disorders. The National Health Service (NHS) has also been a key driver through large-scale investments in modernizing imaging infrastructure, particularly in underserved areas. The integration of artificial intelligence (AI), 3D imaging, a</w:t>
      </w:r>
      <w:r>
        <w:rPr>
          <w:rFonts w:ascii="Times New Roman" w:eastAsia="Times New Roman" w:hAnsi="Times New Roman" w:cs="Times New Roman"/>
          <w:color w:val="000000"/>
          <w:sz w:val="24"/>
          <w:szCs w:val="24"/>
        </w:rPr>
        <w:t>nd portable systems into diagnostic workflows is enabling faster and more precise diagnostic capabilities. Additionally, partnerships between private providers and the NHS are expanding imaging accessibility and reducing patient wait times.</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UK Diagnostic I</w:t>
      </w:r>
      <w:r>
        <w:rPr>
          <w:rFonts w:ascii="Times New Roman" w:eastAsia="Times New Roman" w:hAnsi="Times New Roman" w:cs="Times New Roman"/>
          <w:b/>
          <w:smallCaps/>
          <w:color w:val="000000"/>
          <w:sz w:val="24"/>
          <w:szCs w:val="24"/>
        </w:rPr>
        <w:t>maging Devices Market Definition</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Diagnostic imaging devices are medical instruments used to create visual representations of the </w:t>
      </w:r>
      <w:proofErr w:type="gramStart"/>
      <w:r>
        <w:rPr>
          <w:rFonts w:ascii="Times New Roman" w:eastAsia="Times New Roman" w:hAnsi="Times New Roman" w:cs="Times New Roman"/>
          <w:color w:val="000000"/>
          <w:sz w:val="24"/>
          <w:szCs w:val="24"/>
        </w:rPr>
        <w:t>internal</w:t>
      </w:r>
      <w:proofErr w:type="gramEnd"/>
      <w:r>
        <w:rPr>
          <w:rFonts w:ascii="Times New Roman" w:eastAsia="Times New Roman" w:hAnsi="Times New Roman" w:cs="Times New Roman"/>
          <w:color w:val="000000"/>
          <w:sz w:val="24"/>
          <w:szCs w:val="24"/>
        </w:rPr>
        <w:t xml:space="preserve"> structures of the body for clinical analysis and medical intervention. These include X-ray machines, CT scanners, MRI </w:t>
      </w:r>
      <w:r>
        <w:rPr>
          <w:rFonts w:ascii="Times New Roman" w:eastAsia="Times New Roman" w:hAnsi="Times New Roman" w:cs="Times New Roman"/>
          <w:color w:val="000000"/>
          <w:sz w:val="24"/>
          <w:szCs w:val="24"/>
        </w:rPr>
        <w:t xml:space="preserve">systems, ultrasound devices, nuclear imaging equipment (PET and </w:t>
      </w:r>
      <w:r>
        <w:rPr>
          <w:rFonts w:ascii="Times New Roman" w:eastAsia="Times New Roman" w:hAnsi="Times New Roman" w:cs="Times New Roman"/>
          <w:color w:val="000000"/>
          <w:sz w:val="24"/>
          <w:szCs w:val="24"/>
        </w:rPr>
        <w:lastRenderedPageBreak/>
        <w:t>SPECT), and mammography systems. The primary purpose of these devices is to diagnose diseases, monitor treatment progress, and guide surgical procedures. These devices are used across hospital</w:t>
      </w:r>
      <w:r>
        <w:rPr>
          <w:rFonts w:ascii="Times New Roman" w:eastAsia="Times New Roman" w:hAnsi="Times New Roman" w:cs="Times New Roman"/>
          <w:color w:val="000000"/>
          <w:sz w:val="24"/>
          <w:szCs w:val="24"/>
        </w:rPr>
        <w:t>s, diagnostic imaging centers, ambulatory surgical centers, and academic research settings. Advancements in digital imaging, miniaturization, and AI integration are enhancing the performance, accuracy, and accessibility of diagnostic imaging in the UK.</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UK </w:t>
      </w:r>
      <w:r>
        <w:rPr>
          <w:rFonts w:ascii="Times New Roman" w:eastAsia="Times New Roman" w:hAnsi="Times New Roman" w:cs="Times New Roman"/>
          <w:b/>
          <w:smallCaps/>
          <w:color w:val="000000"/>
          <w:sz w:val="24"/>
          <w:szCs w:val="24"/>
        </w:rPr>
        <w:t>Diagnostic Imaging Devices Market Overview</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diagnostic imaging devices market in the UK continues to expand due to a combination of technological advancements, increasing healthcare demand, and supportive public health policies. The growing geriatric po</w:t>
      </w:r>
      <w:r>
        <w:rPr>
          <w:rFonts w:ascii="Times New Roman" w:eastAsia="Times New Roman" w:hAnsi="Times New Roman" w:cs="Times New Roman"/>
          <w:color w:val="000000"/>
          <w:sz w:val="24"/>
          <w:szCs w:val="24"/>
        </w:rPr>
        <w:t>pulation and the rising burden of chronic illnesses are amplifying the need for effective diagnostic solutions. In addition, early screening programs for diseases such as breast cancer and cardiovascular conditions are boosting the adoption of imaging moda</w:t>
      </w:r>
      <w:r>
        <w:rPr>
          <w:rFonts w:ascii="Times New Roman" w:eastAsia="Times New Roman" w:hAnsi="Times New Roman" w:cs="Times New Roman"/>
          <w:color w:val="000000"/>
          <w:sz w:val="24"/>
          <w:szCs w:val="24"/>
        </w:rPr>
        <w:t>lities such as mammography and cardiac MRI.</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the market also faces several challenges. Equipment procurement delays, workforce shortages, and uneven access to diagnostic services across the UK regions can limit market growth. Despite these issues, </w:t>
      </w:r>
      <w:r>
        <w:rPr>
          <w:rFonts w:ascii="Times New Roman" w:eastAsia="Times New Roman" w:hAnsi="Times New Roman" w:cs="Times New Roman"/>
          <w:color w:val="000000"/>
          <w:sz w:val="24"/>
          <w:szCs w:val="24"/>
        </w:rPr>
        <w:t>the government's continued focus on NHS reforms and digitization is expected to propel the market forward, particularly with AI-powered imaging platforms, mobile diagnostics, and integrated radiology networks gaining momentum.</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UK Diagnostic Imaging Devices</w:t>
      </w:r>
      <w:r>
        <w:rPr>
          <w:rFonts w:ascii="Times New Roman" w:eastAsia="Times New Roman" w:hAnsi="Times New Roman" w:cs="Times New Roman"/>
          <w:b/>
          <w:smallCaps/>
          <w:color w:val="000000"/>
          <w:sz w:val="24"/>
          <w:szCs w:val="24"/>
        </w:rPr>
        <w:t xml:space="preserve"> Market Segmentation Analysis</w:t>
      </w:r>
      <w:r>
        <w:rPr>
          <w:rFonts w:ascii="Times New Roman" w:eastAsia="Times New Roman" w:hAnsi="Times New Roman" w:cs="Times New Roman"/>
          <w:b/>
          <w:smallCaps/>
          <w:noProof/>
          <w:color w:val="000000"/>
          <w:sz w:val="24"/>
          <w:szCs w:val="24"/>
          <w:lang w:val="en-IN"/>
        </w:rPr>
        <w:drawing>
          <wp:anchor distT="0" distB="0" distL="0" distR="0" simplePos="0" relativeHeight="251659264" behindDoc="1" locked="0" layoutInCell="1" hidden="0" allowOverlap="1">
            <wp:simplePos x="0" y="0"/>
            <wp:positionH relativeFrom="page">
              <wp:posOffset>-369569</wp:posOffset>
            </wp:positionH>
            <wp:positionV relativeFrom="page">
              <wp:posOffset>-1013459</wp:posOffset>
            </wp:positionV>
            <wp:extent cx="10222230" cy="14455140"/>
            <wp:effectExtent l="0" t="0" r="0" b="0"/>
            <wp:wrapNone/>
            <wp:docPr id="4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smallCaps/>
          <w:noProof/>
          <w:color w:val="000000"/>
          <w:sz w:val="24"/>
          <w:szCs w:val="24"/>
          <w:lang w:val="en-IN"/>
        </w:rPr>
        <w:drawing>
          <wp:anchor distT="0" distB="0" distL="0" distR="0" simplePos="0" relativeHeight="251660288" behindDoc="1" locked="0" layoutInCell="1" hidden="0" allowOverlap="1">
            <wp:simplePos x="0" y="0"/>
            <wp:positionH relativeFrom="page">
              <wp:posOffset>-521969</wp:posOffset>
            </wp:positionH>
            <wp:positionV relativeFrom="page">
              <wp:posOffset>-1165859</wp:posOffset>
            </wp:positionV>
            <wp:extent cx="10222230" cy="14455140"/>
            <wp:effectExtent l="0" t="0" r="0" b="0"/>
            <wp:wrapNone/>
            <wp:docPr id="4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Market Segmentation by Product Type: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X-ray Imaging Systems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Computed Tomography (CT) Scanners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Magnetic Resonance Imaging (MRI) Systems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Ultrasound Systems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Nuclear Imaging Systems (PET/SPECT)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Mammography Systems</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Others</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Among product types, CT and MRI systems remain the most commonly installed modalities in the UK, driven by their wide application scope in neurological, oncological, and orthopedic diagnostics. Ultrasound systems are also widely adopted due to their non-in</w:t>
      </w:r>
      <w:r>
        <w:rPr>
          <w:rFonts w:ascii="Times New Roman" w:eastAsia="Times New Roman" w:hAnsi="Times New Roman" w:cs="Times New Roman"/>
          <w:color w:val="000000"/>
          <w:sz w:val="24"/>
          <w:szCs w:val="24"/>
        </w:rPr>
        <w:t>vasive and cost-effective nature, especially in maternity and general practice.</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Market Segmentation by Application: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Cardiology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Oncology</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Neurology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Orthopedics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Obstetrics &amp; Gynecology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Other Applications</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oncology segment dominates the UK</w:t>
      </w:r>
      <w:r>
        <w:rPr>
          <w:rFonts w:ascii="Times New Roman" w:eastAsia="Times New Roman" w:hAnsi="Times New Roman" w:cs="Times New Roman"/>
          <w:color w:val="000000"/>
          <w:sz w:val="24"/>
          <w:szCs w:val="24"/>
        </w:rPr>
        <w:t xml:space="preserve"> market, owing to the increasing incidence of cancer and the use of diagnostic imaging in screening, staging, and monitoring. Neurology and cardiology segments are also growing steadily due to a high burden of stroke and cardiovascular conditions.</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Market S</w:t>
      </w:r>
      <w:r>
        <w:rPr>
          <w:rFonts w:ascii="Times New Roman" w:eastAsia="Times New Roman" w:hAnsi="Times New Roman" w:cs="Times New Roman"/>
          <w:b/>
          <w:smallCaps/>
          <w:color w:val="000000"/>
          <w:sz w:val="24"/>
          <w:szCs w:val="24"/>
        </w:rPr>
        <w:t xml:space="preserve">egmentation by End User: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Hospitals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Diagnostic Imaging Centers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Ambulatory Surgical Centers (ASCs) </w:t>
      </w:r>
      <w:r>
        <w:rPr>
          <w:rFonts w:ascii="Times New Roman" w:eastAsia="Times New Roman" w:hAnsi="Times New Roman" w:cs="Times New Roman"/>
          <w:noProof/>
          <w:color w:val="000000"/>
          <w:sz w:val="24"/>
          <w:szCs w:val="24"/>
          <w:lang w:val="en-IN"/>
        </w:rPr>
        <w:drawing>
          <wp:anchor distT="0" distB="0" distL="0" distR="0" simplePos="0" relativeHeight="251661312" behindDoc="1" locked="0" layoutInCell="1" hidden="0" allowOverlap="1">
            <wp:simplePos x="0" y="0"/>
            <wp:positionH relativeFrom="page">
              <wp:posOffset>-217169</wp:posOffset>
            </wp:positionH>
            <wp:positionV relativeFrom="page">
              <wp:posOffset>-861059</wp:posOffset>
            </wp:positionV>
            <wp:extent cx="10222230" cy="14455140"/>
            <wp:effectExtent l="0" t="0" r="0" b="0"/>
            <wp:wrapNone/>
            <wp:docPr id="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Research and Academic Institutes</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Hospitals remain the largest end-user segment, benefiting from NHS funding and infrastructure. Diagnostic imaging centers are growing rapidly due to increasing outsourcing of diagnostic services by hospitals and private healthcare expansions.</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Market Segmen</w:t>
      </w:r>
      <w:r>
        <w:rPr>
          <w:rFonts w:ascii="Times New Roman" w:eastAsia="Times New Roman" w:hAnsi="Times New Roman" w:cs="Times New Roman"/>
          <w:b/>
          <w:smallCaps/>
          <w:color w:val="000000"/>
          <w:sz w:val="24"/>
          <w:szCs w:val="24"/>
        </w:rPr>
        <w:t xml:space="preserve">tation by Region: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England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Scotland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Wales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Northern Ireland</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England dominates the UK imaging devices market due to its larger healthcare infrastructure and budget. However, the other regions are seeing increased investment in mobile and digital i</w:t>
      </w:r>
      <w:r>
        <w:rPr>
          <w:rFonts w:ascii="Times New Roman" w:eastAsia="Times New Roman" w:hAnsi="Times New Roman" w:cs="Times New Roman"/>
          <w:color w:val="000000"/>
          <w:sz w:val="24"/>
          <w:szCs w:val="24"/>
        </w:rPr>
        <w:t>maging to address regional healthcare inequalities.</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Key Players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report includes detailed profiling and benchmarking of leading companies including GE HealthCare, Siemens </w:t>
      </w:r>
      <w:proofErr w:type="spellStart"/>
      <w:r>
        <w:rPr>
          <w:rFonts w:ascii="Times New Roman" w:eastAsia="Times New Roman" w:hAnsi="Times New Roman" w:cs="Times New Roman"/>
          <w:color w:val="000000"/>
          <w:sz w:val="24"/>
          <w:szCs w:val="24"/>
        </w:rPr>
        <w:t>Healthineers</w:t>
      </w:r>
      <w:proofErr w:type="spellEnd"/>
      <w:r>
        <w:rPr>
          <w:rFonts w:ascii="Times New Roman" w:eastAsia="Times New Roman" w:hAnsi="Times New Roman" w:cs="Times New Roman"/>
          <w:color w:val="000000"/>
          <w:sz w:val="24"/>
          <w:szCs w:val="24"/>
        </w:rPr>
        <w:t xml:space="preserve"> AG, </w:t>
      </w:r>
      <w:proofErr w:type="spellStart"/>
      <w:r>
        <w:rPr>
          <w:rFonts w:ascii="Times New Roman" w:eastAsia="Times New Roman" w:hAnsi="Times New Roman" w:cs="Times New Roman"/>
          <w:color w:val="000000"/>
          <w:sz w:val="24"/>
          <w:szCs w:val="24"/>
        </w:rPr>
        <w:t>Koninklijke</w:t>
      </w:r>
      <w:proofErr w:type="spellEnd"/>
      <w:r>
        <w:rPr>
          <w:rFonts w:ascii="Times New Roman" w:eastAsia="Times New Roman" w:hAnsi="Times New Roman" w:cs="Times New Roman"/>
          <w:color w:val="000000"/>
          <w:sz w:val="24"/>
          <w:szCs w:val="24"/>
        </w:rPr>
        <w:t xml:space="preserve"> Philips N.V., Canon Medical Systems Corporation, FU</w:t>
      </w:r>
      <w:r>
        <w:rPr>
          <w:rFonts w:ascii="Times New Roman" w:eastAsia="Times New Roman" w:hAnsi="Times New Roman" w:cs="Times New Roman"/>
          <w:color w:val="000000"/>
          <w:sz w:val="24"/>
          <w:szCs w:val="24"/>
        </w:rPr>
        <w:t xml:space="preserve">JIFILM Holdings Corporation, </w:t>
      </w:r>
      <w:proofErr w:type="spellStart"/>
      <w:r>
        <w:rPr>
          <w:rFonts w:ascii="Times New Roman" w:eastAsia="Times New Roman" w:hAnsi="Times New Roman" w:cs="Times New Roman"/>
          <w:color w:val="000000"/>
          <w:sz w:val="24"/>
          <w:szCs w:val="24"/>
        </w:rPr>
        <w:t>Hologic</w:t>
      </w:r>
      <w:proofErr w:type="spellEnd"/>
      <w:r>
        <w:rPr>
          <w:rFonts w:ascii="Times New Roman" w:eastAsia="Times New Roman" w:hAnsi="Times New Roman" w:cs="Times New Roman"/>
          <w:color w:val="000000"/>
          <w:sz w:val="24"/>
          <w:szCs w:val="24"/>
        </w:rPr>
        <w:t xml:space="preserve"> Inc., Samsung </w:t>
      </w:r>
      <w:proofErr w:type="spellStart"/>
      <w:r>
        <w:rPr>
          <w:rFonts w:ascii="Times New Roman" w:eastAsia="Times New Roman" w:hAnsi="Times New Roman" w:cs="Times New Roman"/>
          <w:color w:val="000000"/>
          <w:sz w:val="24"/>
          <w:szCs w:val="24"/>
        </w:rPr>
        <w:t>Medison</w:t>
      </w:r>
      <w:proofErr w:type="spellEnd"/>
      <w:r>
        <w:rPr>
          <w:rFonts w:ascii="Times New Roman" w:eastAsia="Times New Roman" w:hAnsi="Times New Roman" w:cs="Times New Roman"/>
          <w:color w:val="000000"/>
          <w:sz w:val="24"/>
          <w:szCs w:val="24"/>
        </w:rPr>
        <w:t xml:space="preserve"> Co. Ltd., and Shimadzu Corporation. Each profile includes company background, financial performance, product portfolio, and recent developments.</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Key Developments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March 2023, GE HealthCare announced the launch of the SIGNA PET/MR AIR, its latest high-performance hybrid system combining PET and MRI in a single scan.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May 2023, Siemens </w:t>
      </w:r>
      <w:proofErr w:type="spellStart"/>
      <w:r>
        <w:rPr>
          <w:rFonts w:ascii="Times New Roman" w:eastAsia="Times New Roman" w:hAnsi="Times New Roman" w:cs="Times New Roman"/>
          <w:color w:val="000000"/>
          <w:sz w:val="24"/>
          <w:szCs w:val="24"/>
        </w:rPr>
        <w:t>Healthineers</w:t>
      </w:r>
      <w:proofErr w:type="spellEnd"/>
      <w:r>
        <w:rPr>
          <w:rFonts w:ascii="Times New Roman" w:eastAsia="Times New Roman" w:hAnsi="Times New Roman" w:cs="Times New Roman"/>
          <w:color w:val="000000"/>
          <w:sz w:val="24"/>
          <w:szCs w:val="24"/>
        </w:rPr>
        <w:t xml:space="preserve"> partnered with the NHS England to expand AI-based chest X-ra</w:t>
      </w:r>
      <w:r>
        <w:rPr>
          <w:rFonts w:ascii="Times New Roman" w:eastAsia="Times New Roman" w:hAnsi="Times New Roman" w:cs="Times New Roman"/>
          <w:color w:val="000000"/>
          <w:sz w:val="24"/>
          <w:szCs w:val="24"/>
        </w:rPr>
        <w:t xml:space="preserve">y diagnostic tools in public hospitals.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In January 2024, FUJIFILM opened a new diagnostics research facility in the UK aimed at improving early cancer detection through advanced CT imaging.</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Market Attractiveness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UK diagnostic imaging devices market</w:t>
      </w:r>
      <w:r>
        <w:rPr>
          <w:rFonts w:ascii="Times New Roman" w:eastAsia="Times New Roman" w:hAnsi="Times New Roman" w:cs="Times New Roman"/>
          <w:color w:val="000000"/>
          <w:sz w:val="24"/>
          <w:szCs w:val="24"/>
        </w:rPr>
        <w:t xml:space="preserve"> remains highly attractive due to strong healthcare infrastructure, rising disease prevalence, and rapid adoption of innovative technologies. Increased investment in AI-driven imaging, point-of-care solutions, and remote diagnostics </w:t>
      </w:r>
      <w:r>
        <w:rPr>
          <w:rFonts w:ascii="Times New Roman" w:eastAsia="Times New Roman" w:hAnsi="Times New Roman" w:cs="Times New Roman"/>
          <w:noProof/>
          <w:color w:val="000000"/>
          <w:sz w:val="24"/>
          <w:szCs w:val="24"/>
          <w:lang w:val="en-IN"/>
        </w:rPr>
        <w:drawing>
          <wp:anchor distT="0" distB="0" distL="0" distR="0" simplePos="0" relativeHeight="251662336" behindDoc="1" locked="0" layoutInCell="1" hidden="0" allowOverlap="1">
            <wp:simplePos x="0" y="0"/>
            <wp:positionH relativeFrom="page">
              <wp:posOffset>87630</wp:posOffset>
            </wp:positionH>
            <wp:positionV relativeFrom="page">
              <wp:posOffset>-556259</wp:posOffset>
            </wp:positionV>
            <wp:extent cx="10222230" cy="14455140"/>
            <wp:effectExtent l="0" t="0" r="0" b="0"/>
            <wp:wrapNone/>
            <wp:docPr id="4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noProof/>
          <w:color w:val="000000"/>
          <w:sz w:val="24"/>
          <w:szCs w:val="24"/>
          <w:lang w:val="en-IN"/>
        </w:rPr>
        <w:drawing>
          <wp:anchor distT="0" distB="0" distL="0" distR="0" simplePos="0" relativeHeight="251663360" behindDoc="1" locked="0" layoutInCell="1" hidden="0" allowOverlap="1">
            <wp:simplePos x="0" y="0"/>
            <wp:positionH relativeFrom="page">
              <wp:posOffset>-64768</wp:posOffset>
            </wp:positionH>
            <wp:positionV relativeFrom="page">
              <wp:posOffset>-708659</wp:posOffset>
            </wp:positionV>
            <wp:extent cx="10222230" cy="14455140"/>
            <wp:effectExtent l="0" t="0" r="0" b="0"/>
            <wp:wrapNone/>
            <wp:docPr id="4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present new avenues f</w:t>
      </w:r>
      <w:r>
        <w:rPr>
          <w:rFonts w:ascii="Times New Roman" w:eastAsia="Times New Roman" w:hAnsi="Times New Roman" w:cs="Times New Roman"/>
          <w:color w:val="000000"/>
          <w:sz w:val="24"/>
          <w:szCs w:val="24"/>
        </w:rPr>
        <w:t>or market players. Additionally, the government’s commitment to reducing diagnostic waiting times and expanding mobile screening programs enhances the growth potential. Favorable reimbursement frameworks and the prioritization of early disease detection in</w:t>
      </w:r>
      <w:r>
        <w:rPr>
          <w:rFonts w:ascii="Times New Roman" w:eastAsia="Times New Roman" w:hAnsi="Times New Roman" w:cs="Times New Roman"/>
          <w:color w:val="000000"/>
          <w:sz w:val="24"/>
          <w:szCs w:val="24"/>
        </w:rPr>
        <w:t xml:space="preserve"> national healthcare policy also contribute to the attractiveness of this market.</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noProof/>
          <w:color w:val="000000"/>
          <w:sz w:val="24"/>
          <w:szCs w:val="24"/>
          <w:lang w:val="en-IN"/>
        </w:rPr>
        <w:drawing>
          <wp:anchor distT="0" distB="0" distL="0" distR="0" simplePos="0" relativeHeight="251664384" behindDoc="1" locked="0" layoutInCell="1" hidden="0" allowOverlap="1">
            <wp:simplePos x="0" y="0"/>
            <wp:positionH relativeFrom="page">
              <wp:posOffset>-49529</wp:posOffset>
            </wp:positionH>
            <wp:positionV relativeFrom="page">
              <wp:posOffset>-662939</wp:posOffset>
            </wp:positionV>
            <wp:extent cx="10222230" cy="14455140"/>
            <wp:effectExtent l="0" t="0" r="0" b="0"/>
            <wp:wrapNone/>
            <wp:docPr id="4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smallCaps/>
          <w:color w:val="000000"/>
          <w:sz w:val="24"/>
          <w:szCs w:val="24"/>
        </w:rPr>
        <w:t xml:space="preserve">Porter’s Five Forces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Threat of New Entrants: Moderate. Regulatory approvals, capital intensity, and the need for specialized technology create significant barriers. However, the rise of AI-driven imaging startups and partnerships with </w:t>
      </w:r>
      <w:proofErr w:type="spellStart"/>
      <w:r>
        <w:rPr>
          <w:rFonts w:ascii="Times New Roman" w:eastAsia="Times New Roman" w:hAnsi="Times New Roman" w:cs="Times New Roman"/>
          <w:color w:val="000000"/>
          <w:sz w:val="24"/>
          <w:szCs w:val="24"/>
        </w:rPr>
        <w:t>healthtech</w:t>
      </w:r>
      <w:proofErr w:type="spellEnd"/>
      <w:r>
        <w:rPr>
          <w:rFonts w:ascii="Times New Roman" w:eastAsia="Times New Roman" w:hAnsi="Times New Roman" w:cs="Times New Roman"/>
          <w:color w:val="000000"/>
          <w:sz w:val="24"/>
          <w:szCs w:val="24"/>
        </w:rPr>
        <w:t xml:space="preserve"> platforms are lowering the en</w:t>
      </w:r>
      <w:r>
        <w:rPr>
          <w:rFonts w:ascii="Times New Roman" w:eastAsia="Times New Roman" w:hAnsi="Times New Roman" w:cs="Times New Roman"/>
          <w:color w:val="000000"/>
          <w:sz w:val="24"/>
          <w:szCs w:val="24"/>
        </w:rPr>
        <w:t xml:space="preserve">try barriers for niche innovations. </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Bargaining Power of Suppliers: Low to moderate. While core component suppliers (e.g., semiconductors, superconductors) have limited availability, the presence of multiple global vendors dilutes their power. Larger ima</w:t>
      </w:r>
      <w:r>
        <w:rPr>
          <w:rFonts w:ascii="Times New Roman" w:eastAsia="Times New Roman" w:hAnsi="Times New Roman" w:cs="Times New Roman"/>
          <w:color w:val="000000"/>
          <w:sz w:val="24"/>
          <w:szCs w:val="24"/>
        </w:rPr>
        <w:t>ging companies often have long-term procurement agreements, reducing supplier leverage.</w:t>
      </w:r>
    </w:p>
    <w:p w:rsidR="009C6BDD" w:rsidRDefault="002F4051">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Bargaining Power of Buyers: High. NHS procurement exerts significant control over purchasing terms, volumes, and prices. Buyers also demand bundled services, warrant</w:t>
      </w:r>
      <w:r>
        <w:rPr>
          <w:rFonts w:ascii="Times New Roman" w:eastAsia="Times New Roman" w:hAnsi="Times New Roman" w:cs="Times New Roman"/>
          <w:color w:val="000000"/>
          <w:sz w:val="24"/>
          <w:szCs w:val="24"/>
        </w:rPr>
        <w:t xml:space="preserve">ies, and upgrades, enhancing their bargaining position. </w:t>
      </w:r>
    </w:p>
    <w:p w:rsidR="009C6BDD" w:rsidRDefault="009C6BDD">
      <w:pPr>
        <w:spacing w:line="360" w:lineRule="auto"/>
        <w:jc w:val="both"/>
      </w:pPr>
    </w:p>
    <w:p w:rsidR="009C6BDD" w:rsidRDefault="009C6BDD">
      <w:pPr>
        <w:spacing w:line="360" w:lineRule="auto"/>
        <w:jc w:val="both"/>
      </w:pPr>
    </w:p>
    <w:p w:rsidR="009C6BDD" w:rsidRDefault="009C6BDD">
      <w:pPr>
        <w:spacing w:line="360" w:lineRule="auto"/>
        <w:jc w:val="both"/>
      </w:pPr>
    </w:p>
    <w:p w:rsidR="009C6BDD" w:rsidRDefault="009C6BDD">
      <w:pPr>
        <w:spacing w:line="360" w:lineRule="auto"/>
        <w:jc w:val="both"/>
      </w:pPr>
    </w:p>
    <w:p w:rsidR="009C6BDD" w:rsidRDefault="009C6BDD">
      <w:pPr>
        <w:spacing w:line="360" w:lineRule="auto"/>
        <w:jc w:val="both"/>
      </w:pPr>
    </w:p>
    <w:p w:rsidR="009C6BDD" w:rsidRDefault="009C6BDD">
      <w:pPr>
        <w:spacing w:line="360" w:lineRule="auto"/>
        <w:jc w:val="both"/>
      </w:pPr>
    </w:p>
    <w:p w:rsidR="009C6BDD" w:rsidRDefault="009C6BDD">
      <w:pPr>
        <w:spacing w:line="360" w:lineRule="auto"/>
        <w:jc w:val="both"/>
      </w:pPr>
    </w:p>
    <w:p w:rsidR="009C6BDD" w:rsidRDefault="009C6BDD">
      <w:pPr>
        <w:spacing w:line="360" w:lineRule="auto"/>
        <w:jc w:val="both"/>
      </w:pPr>
    </w:p>
    <w:p w:rsidR="009C6BDD" w:rsidRDefault="009C6BDD">
      <w:pPr>
        <w:spacing w:line="360" w:lineRule="auto"/>
        <w:jc w:val="both"/>
      </w:pPr>
    </w:p>
    <w:p w:rsidR="009C6BDD" w:rsidRDefault="009C6BDD">
      <w:pPr>
        <w:spacing w:line="360" w:lineRule="auto"/>
        <w:jc w:val="both"/>
      </w:pPr>
    </w:p>
    <w:p w:rsidR="009C6BDD" w:rsidRDefault="009C6BDD">
      <w:pPr>
        <w:spacing w:line="360" w:lineRule="auto"/>
        <w:jc w:val="both"/>
      </w:pPr>
    </w:p>
    <w:p w:rsidR="009C6BDD" w:rsidRDefault="002F4051">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5408" behindDoc="1" locked="0" layoutInCell="1" hidden="0" allowOverlap="1">
            <wp:simplePos x="0" y="0"/>
            <wp:positionH relativeFrom="page">
              <wp:posOffset>-11429</wp:posOffset>
            </wp:positionH>
            <wp:positionV relativeFrom="page">
              <wp:posOffset>-541019</wp:posOffset>
            </wp:positionV>
            <wp:extent cx="10222230" cy="14455140"/>
            <wp:effectExtent l="0" t="0" r="0" b="0"/>
            <wp:wrapNone/>
            <wp:docPr id="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TABLE OF CONTENTS</w:t>
      </w:r>
    </w:p>
    <w:p w:rsidR="009C6BDD" w:rsidRDefault="002F4051">
      <w:pPr>
        <w:numPr>
          <w:ilvl w:val="0"/>
          <w:numId w:val="1"/>
        </w:numPr>
        <w:pBdr>
          <w:top w:val="nil"/>
          <w:left w:val="nil"/>
          <w:bottom w:val="nil"/>
          <w:right w:val="nil"/>
          <w:between w:val="nil"/>
        </w:pBdr>
        <w:spacing w:before="280" w:after="0" w:line="360" w:lineRule="auto"/>
      </w:pPr>
      <w:r>
        <w:rPr>
          <w:rFonts w:ascii="Times New Roman" w:eastAsia="Times New Roman" w:hAnsi="Times New Roman" w:cs="Times New Roman"/>
          <w:b/>
          <w:color w:val="000000"/>
          <w:sz w:val="24"/>
          <w:szCs w:val="24"/>
        </w:rPr>
        <w:t>INTRODUCTION OF UK DIAGNOSTIC IMAGING DEVICES MARKET</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1.1 Overview of the Market </w:t>
      </w:r>
      <w:r>
        <w:rPr>
          <w:rFonts w:ascii="Times New Roman" w:eastAsia="Times New Roman" w:hAnsi="Times New Roman" w:cs="Times New Roman"/>
          <w:color w:val="000000"/>
          <w:sz w:val="24"/>
          <w:szCs w:val="24"/>
        </w:rPr>
        <w:br/>
        <w:t>1.2 Scope of Report </w:t>
      </w:r>
      <w:r>
        <w:rPr>
          <w:rFonts w:ascii="Times New Roman" w:eastAsia="Times New Roman" w:hAnsi="Times New Roman" w:cs="Times New Roman"/>
          <w:color w:val="000000"/>
          <w:sz w:val="24"/>
          <w:szCs w:val="24"/>
        </w:rPr>
        <w:br/>
        <w:t>1.3 Assumptions </w:t>
      </w:r>
    </w:p>
    <w:p w:rsidR="009C6BDD" w:rsidRDefault="002F4051">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rsidR="009C6BDD" w:rsidRDefault="002F4051">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RESEARCH METHODOLOGY</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3.1 Data Mining </w:t>
      </w:r>
      <w:r>
        <w:rPr>
          <w:rFonts w:ascii="Times New Roman" w:eastAsia="Times New Roman" w:hAnsi="Times New Roman" w:cs="Times New Roman"/>
          <w:color w:val="000000"/>
          <w:sz w:val="24"/>
          <w:szCs w:val="24"/>
        </w:rPr>
        <w:br/>
        <w:t>3.2 Validation </w:t>
      </w:r>
      <w:r>
        <w:rPr>
          <w:rFonts w:ascii="Times New Roman" w:eastAsia="Times New Roman" w:hAnsi="Times New Roman" w:cs="Times New Roman"/>
          <w:color w:val="000000"/>
          <w:sz w:val="24"/>
          <w:szCs w:val="24"/>
        </w:rPr>
        <w:br/>
        <w:t>3.3 Primary Interviews </w:t>
      </w:r>
      <w:r>
        <w:rPr>
          <w:rFonts w:ascii="Times New Roman" w:eastAsia="Times New Roman" w:hAnsi="Times New Roman" w:cs="Times New Roman"/>
          <w:color w:val="000000"/>
          <w:sz w:val="24"/>
          <w:szCs w:val="24"/>
        </w:rPr>
        <w:br/>
        <w:t>3.4 List of Data Sources </w:t>
      </w:r>
    </w:p>
    <w:p w:rsidR="009C6BDD" w:rsidRDefault="002F4051">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UK DIAGNOSTIC IMAGING DEVICES MARKET OUTLOOK</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4.1 Overview </w:t>
      </w:r>
      <w:r>
        <w:rPr>
          <w:rFonts w:ascii="Times New Roman" w:eastAsia="Times New Roman" w:hAnsi="Times New Roman" w:cs="Times New Roman"/>
          <w:color w:val="000000"/>
          <w:sz w:val="24"/>
          <w:szCs w:val="24"/>
        </w:rPr>
        <w:br/>
        <w:t>4.2 Market Dynamics </w:t>
      </w:r>
      <w:r>
        <w:rPr>
          <w:rFonts w:ascii="Times New Roman" w:eastAsia="Times New Roman" w:hAnsi="Times New Roman" w:cs="Times New Roman"/>
          <w:color w:val="000000"/>
          <w:sz w:val="24"/>
          <w:szCs w:val="24"/>
        </w:rPr>
        <w:br/>
        <w:t>4.2.1 Drivers  </w:t>
      </w:r>
      <w:r>
        <w:rPr>
          <w:rFonts w:ascii="Times New Roman" w:eastAsia="Times New Roman" w:hAnsi="Times New Roman" w:cs="Times New Roman"/>
          <w:color w:val="000000"/>
          <w:sz w:val="24"/>
          <w:szCs w:val="24"/>
        </w:rPr>
        <w:br/>
        <w:t>4.2.2 Restraints  </w:t>
      </w:r>
      <w:r>
        <w:rPr>
          <w:rFonts w:ascii="Times New Roman" w:eastAsia="Times New Roman" w:hAnsi="Times New Roman" w:cs="Times New Roman"/>
          <w:color w:val="000000"/>
          <w:sz w:val="24"/>
          <w:szCs w:val="24"/>
        </w:rPr>
        <w:br/>
        <w:t>4.2.3 Opportunities  </w:t>
      </w:r>
      <w:r>
        <w:rPr>
          <w:rFonts w:ascii="Times New Roman" w:eastAsia="Times New Roman" w:hAnsi="Times New Roman" w:cs="Times New Roman"/>
          <w:color w:val="000000"/>
          <w:sz w:val="24"/>
          <w:szCs w:val="24"/>
        </w:rPr>
        <w:br/>
        <w:t>4.2.4 Trends  </w:t>
      </w:r>
      <w:r>
        <w:rPr>
          <w:rFonts w:ascii="Times New Roman" w:eastAsia="Times New Roman" w:hAnsi="Times New Roman" w:cs="Times New Roman"/>
          <w:color w:val="000000"/>
          <w:sz w:val="24"/>
          <w:szCs w:val="24"/>
        </w:rPr>
        <w:br/>
        <w:t>4.3 Porters Five Forc</w:t>
      </w:r>
      <w:r>
        <w:rPr>
          <w:rFonts w:ascii="Times New Roman" w:eastAsia="Times New Roman" w:hAnsi="Times New Roman" w:cs="Times New Roman"/>
          <w:color w:val="000000"/>
          <w:sz w:val="24"/>
          <w:szCs w:val="24"/>
        </w:rPr>
        <w:t>e Model </w:t>
      </w:r>
      <w:r>
        <w:rPr>
          <w:rFonts w:ascii="Times New Roman" w:eastAsia="Times New Roman" w:hAnsi="Times New Roman" w:cs="Times New Roman"/>
          <w:color w:val="000000"/>
          <w:sz w:val="24"/>
          <w:szCs w:val="24"/>
        </w:rPr>
        <w:br/>
        <w:t>4.4 Value Chain Analysis </w:t>
      </w:r>
    </w:p>
    <w:p w:rsidR="009C6BDD" w:rsidRDefault="002F4051">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lastRenderedPageBreak/>
        <w:t>UK DIAGNOSTIC IMAGING DEVICES MARKET, BY PRODUCT TYPE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5.1 X-ray Imaging Systems </w:t>
      </w:r>
      <w:r>
        <w:rPr>
          <w:rFonts w:ascii="Times New Roman" w:eastAsia="Times New Roman" w:hAnsi="Times New Roman" w:cs="Times New Roman"/>
          <w:color w:val="000000"/>
          <w:sz w:val="24"/>
          <w:szCs w:val="24"/>
        </w:rPr>
        <w:br/>
        <w:t>5.2 Computed Tomography (CT) Scanners </w:t>
      </w:r>
      <w:r>
        <w:rPr>
          <w:rFonts w:ascii="Times New Roman" w:eastAsia="Times New Roman" w:hAnsi="Times New Roman" w:cs="Times New Roman"/>
          <w:color w:val="000000"/>
          <w:sz w:val="24"/>
          <w:szCs w:val="24"/>
        </w:rPr>
        <w:br/>
        <w:t>5.3 Magnetic Resonance Imaging (MRI) Systems </w:t>
      </w:r>
      <w:r>
        <w:rPr>
          <w:rFonts w:ascii="Times New Roman" w:eastAsia="Times New Roman" w:hAnsi="Times New Roman" w:cs="Times New Roman"/>
          <w:color w:val="000000"/>
          <w:sz w:val="24"/>
          <w:szCs w:val="24"/>
        </w:rPr>
        <w:br/>
        <w:t>5.4 Ultrasound Systems </w:t>
      </w:r>
      <w:r>
        <w:rPr>
          <w:rFonts w:ascii="Times New Roman" w:eastAsia="Times New Roman" w:hAnsi="Times New Roman" w:cs="Times New Roman"/>
          <w:color w:val="000000"/>
          <w:sz w:val="24"/>
          <w:szCs w:val="24"/>
        </w:rPr>
        <w:br/>
        <w:t>5.5 Nuclear Imaging Systems (PE</w:t>
      </w:r>
      <w:r>
        <w:rPr>
          <w:rFonts w:ascii="Times New Roman" w:eastAsia="Times New Roman" w:hAnsi="Times New Roman" w:cs="Times New Roman"/>
          <w:color w:val="000000"/>
          <w:sz w:val="24"/>
          <w:szCs w:val="24"/>
        </w:rPr>
        <w:t>T/SPECT) </w:t>
      </w:r>
      <w:r>
        <w:rPr>
          <w:rFonts w:ascii="Times New Roman" w:eastAsia="Times New Roman" w:hAnsi="Times New Roman" w:cs="Times New Roman"/>
          <w:color w:val="000000"/>
          <w:sz w:val="24"/>
          <w:szCs w:val="24"/>
        </w:rPr>
        <w:br/>
        <w:t>5.6 Mammography Systems </w:t>
      </w:r>
      <w:r>
        <w:rPr>
          <w:rFonts w:ascii="Times New Roman" w:eastAsia="Times New Roman" w:hAnsi="Times New Roman" w:cs="Times New Roman"/>
          <w:color w:val="000000"/>
          <w:sz w:val="24"/>
          <w:szCs w:val="24"/>
        </w:rPr>
        <w:br/>
        <w:t>5.7 Others </w:t>
      </w:r>
    </w:p>
    <w:p w:rsidR="009C6BDD" w:rsidRDefault="002F4051">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UK DIAGNOSTIC IMAGING DEVICES MARKET, BY APPLICATION</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6.1 Cardiology </w:t>
      </w:r>
      <w:r>
        <w:rPr>
          <w:rFonts w:ascii="Times New Roman" w:eastAsia="Times New Roman" w:hAnsi="Times New Roman" w:cs="Times New Roman"/>
          <w:color w:val="000000"/>
          <w:sz w:val="24"/>
          <w:szCs w:val="24"/>
        </w:rPr>
        <w:br/>
        <w:t>6.2 Oncology </w:t>
      </w:r>
      <w:r>
        <w:rPr>
          <w:rFonts w:ascii="Times New Roman" w:eastAsia="Times New Roman" w:hAnsi="Times New Roman" w:cs="Times New Roman"/>
          <w:color w:val="000000"/>
          <w:sz w:val="24"/>
          <w:szCs w:val="24"/>
        </w:rPr>
        <w:br/>
        <w:t>6.3 Neurology </w:t>
      </w:r>
      <w:r>
        <w:rPr>
          <w:rFonts w:ascii="Times New Roman" w:eastAsia="Times New Roman" w:hAnsi="Times New Roman" w:cs="Times New Roman"/>
          <w:color w:val="000000"/>
          <w:sz w:val="24"/>
          <w:szCs w:val="24"/>
        </w:rPr>
        <w:br/>
        <w:t>6.4 Orthopedics </w:t>
      </w:r>
      <w:r>
        <w:rPr>
          <w:rFonts w:ascii="Times New Roman" w:eastAsia="Times New Roman" w:hAnsi="Times New Roman" w:cs="Times New Roman"/>
          <w:color w:val="000000"/>
          <w:sz w:val="24"/>
          <w:szCs w:val="24"/>
        </w:rPr>
        <w:br/>
        <w:t>6.5 Obstetrics  &amp; Gynecology</w:t>
      </w:r>
      <w:r>
        <w:rPr>
          <w:rFonts w:ascii="Times New Roman" w:eastAsia="Times New Roman" w:hAnsi="Times New Roman" w:cs="Times New Roman"/>
          <w:color w:val="000000"/>
          <w:sz w:val="24"/>
          <w:szCs w:val="24"/>
        </w:rPr>
        <w:br/>
        <w:t>6.6 Other Applications </w:t>
      </w:r>
    </w:p>
    <w:p w:rsidR="009C6BDD" w:rsidRDefault="002F4051">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noProof/>
          <w:color w:val="000000"/>
          <w:sz w:val="24"/>
          <w:szCs w:val="24"/>
          <w:lang w:val="en-IN"/>
        </w:rPr>
        <w:drawing>
          <wp:anchor distT="0" distB="0" distL="0" distR="0" simplePos="0" relativeHeight="251666432" behindDoc="1" locked="0" layoutInCell="1" hidden="0" allowOverlap="1">
            <wp:simplePos x="0" y="0"/>
            <wp:positionH relativeFrom="page">
              <wp:posOffset>-11429</wp:posOffset>
            </wp:positionH>
            <wp:positionV relativeFrom="page">
              <wp:posOffset>-396239</wp:posOffset>
            </wp:positionV>
            <wp:extent cx="10222230" cy="14455140"/>
            <wp:effectExtent l="0" t="0" r="0" b="0"/>
            <wp:wrapNone/>
            <wp:docPr id="3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UK DIAGNOSTIC IMAGING DEVICES MARKET, BY</w:t>
      </w:r>
      <w:r>
        <w:rPr>
          <w:rFonts w:ascii="Times New Roman" w:eastAsia="Times New Roman" w:hAnsi="Times New Roman" w:cs="Times New Roman"/>
          <w:b/>
          <w:color w:val="000000"/>
          <w:sz w:val="24"/>
          <w:szCs w:val="24"/>
        </w:rPr>
        <w:t xml:space="preserve"> END USER</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7.1 Hospitals </w:t>
      </w:r>
      <w:r>
        <w:rPr>
          <w:rFonts w:ascii="Times New Roman" w:eastAsia="Times New Roman" w:hAnsi="Times New Roman" w:cs="Times New Roman"/>
          <w:color w:val="000000"/>
          <w:sz w:val="24"/>
          <w:szCs w:val="24"/>
        </w:rPr>
        <w:br/>
        <w:t>7.2 Diagnostic Imaging Centers </w:t>
      </w:r>
      <w:r>
        <w:rPr>
          <w:rFonts w:ascii="Times New Roman" w:eastAsia="Times New Roman" w:hAnsi="Times New Roman" w:cs="Times New Roman"/>
          <w:color w:val="000000"/>
          <w:sz w:val="24"/>
          <w:szCs w:val="24"/>
        </w:rPr>
        <w:br/>
        <w:t>7.3 Ambulatory Surgical Centers </w:t>
      </w:r>
      <w:r>
        <w:rPr>
          <w:rFonts w:ascii="Times New Roman" w:eastAsia="Times New Roman" w:hAnsi="Times New Roman" w:cs="Times New Roman"/>
          <w:color w:val="000000"/>
          <w:sz w:val="24"/>
          <w:szCs w:val="24"/>
        </w:rPr>
        <w:br/>
        <w:t>7.4 Research and Academic Institutes </w:t>
      </w:r>
    </w:p>
    <w:p w:rsidR="009C6BDD" w:rsidRDefault="002F4051">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UK DIAGNOSTIC IMAGING DEVICES MARKET, BY REGION</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8.1 England </w:t>
      </w:r>
      <w:r>
        <w:rPr>
          <w:rFonts w:ascii="Times New Roman" w:eastAsia="Times New Roman" w:hAnsi="Times New Roman" w:cs="Times New Roman"/>
          <w:color w:val="000000"/>
          <w:sz w:val="24"/>
          <w:szCs w:val="24"/>
        </w:rPr>
        <w:br/>
        <w:t>8.2 Scotland </w:t>
      </w:r>
      <w:r>
        <w:rPr>
          <w:rFonts w:ascii="Times New Roman" w:eastAsia="Times New Roman" w:hAnsi="Times New Roman" w:cs="Times New Roman"/>
          <w:color w:val="000000"/>
          <w:sz w:val="24"/>
          <w:szCs w:val="24"/>
        </w:rPr>
        <w:br/>
        <w:t>8.3 Wales </w:t>
      </w:r>
      <w:r>
        <w:rPr>
          <w:rFonts w:ascii="Times New Roman" w:eastAsia="Times New Roman" w:hAnsi="Times New Roman" w:cs="Times New Roman"/>
          <w:color w:val="000000"/>
          <w:sz w:val="24"/>
          <w:szCs w:val="24"/>
        </w:rPr>
        <w:br/>
        <w:t>8.4 Northern Ireland </w:t>
      </w:r>
    </w:p>
    <w:p w:rsidR="009C6BDD" w:rsidRDefault="002F4051">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t>UK DIAGNOSTIC IMAGIN</w:t>
      </w:r>
      <w:r>
        <w:rPr>
          <w:rFonts w:ascii="Times New Roman" w:eastAsia="Times New Roman" w:hAnsi="Times New Roman" w:cs="Times New Roman"/>
          <w:b/>
          <w:color w:val="000000"/>
          <w:sz w:val="24"/>
          <w:szCs w:val="24"/>
        </w:rPr>
        <w:t>G DEVICES MARKET COMPETITIVE LANDSCAPE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9.1 Overview </w:t>
      </w:r>
      <w:r>
        <w:rPr>
          <w:rFonts w:ascii="Times New Roman" w:eastAsia="Times New Roman" w:hAnsi="Times New Roman" w:cs="Times New Roman"/>
          <w:color w:val="000000"/>
          <w:sz w:val="24"/>
          <w:szCs w:val="24"/>
        </w:rPr>
        <w:br/>
        <w:t>9.2 Company Market Ranking </w:t>
      </w:r>
      <w:r>
        <w:rPr>
          <w:rFonts w:ascii="Times New Roman" w:eastAsia="Times New Roman" w:hAnsi="Times New Roman" w:cs="Times New Roman"/>
          <w:color w:val="000000"/>
          <w:sz w:val="24"/>
          <w:szCs w:val="24"/>
        </w:rPr>
        <w:br/>
        <w:t>9.3 Key Development Strategies </w:t>
      </w:r>
    </w:p>
    <w:p w:rsidR="009C6BDD" w:rsidRDefault="002F4051">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color w:val="000000"/>
          <w:sz w:val="24"/>
          <w:szCs w:val="24"/>
        </w:rPr>
        <w:lastRenderedPageBreak/>
        <w:t>COMPANY PROFILES</w:t>
      </w:r>
      <w:r>
        <w:rPr>
          <w:rFonts w:ascii="Times New Roman" w:eastAsia="Times New Roman" w:hAnsi="Times New Roman" w:cs="Times New Roman"/>
          <w:b/>
          <w:color w:val="000000"/>
          <w:sz w:val="24"/>
          <w:szCs w:val="24"/>
        </w:rPr>
        <w:br/>
        <w:t>10.1 GE HealthCare 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10.1.1 Overview  </w:t>
      </w:r>
      <w:r>
        <w:rPr>
          <w:rFonts w:ascii="Times New Roman" w:eastAsia="Times New Roman" w:hAnsi="Times New Roman" w:cs="Times New Roman"/>
          <w:color w:val="000000"/>
          <w:sz w:val="24"/>
          <w:szCs w:val="24"/>
        </w:rPr>
        <w:br/>
        <w:t>10.1.2 Financial Performance  </w:t>
      </w:r>
      <w:r>
        <w:rPr>
          <w:rFonts w:ascii="Times New Roman" w:eastAsia="Times New Roman" w:hAnsi="Times New Roman" w:cs="Times New Roman"/>
          <w:color w:val="000000"/>
          <w:sz w:val="24"/>
          <w:szCs w:val="24"/>
        </w:rPr>
        <w:br/>
        <w:t>10.1.3 Product Outlook  </w:t>
      </w:r>
      <w:r>
        <w:rPr>
          <w:rFonts w:ascii="Times New Roman" w:eastAsia="Times New Roman" w:hAnsi="Times New Roman" w:cs="Times New Roman"/>
          <w:color w:val="000000"/>
          <w:sz w:val="24"/>
          <w:szCs w:val="24"/>
        </w:rPr>
        <w:br/>
        <w:t>10.1.4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10.2 S</w:t>
      </w:r>
      <w:r>
        <w:rPr>
          <w:rFonts w:ascii="Times New Roman" w:eastAsia="Times New Roman" w:hAnsi="Times New Roman" w:cs="Times New Roman"/>
          <w:b/>
          <w:color w:val="000000"/>
          <w:sz w:val="24"/>
          <w:szCs w:val="24"/>
        </w:rPr>
        <w:t xml:space="preserve">iemens </w:t>
      </w:r>
      <w:proofErr w:type="spellStart"/>
      <w:r>
        <w:rPr>
          <w:rFonts w:ascii="Times New Roman" w:eastAsia="Times New Roman" w:hAnsi="Times New Roman" w:cs="Times New Roman"/>
          <w:b/>
          <w:color w:val="000000"/>
          <w:sz w:val="24"/>
          <w:szCs w:val="24"/>
        </w:rPr>
        <w:t>Healthineers</w:t>
      </w:r>
      <w:proofErr w:type="spellEnd"/>
      <w:r>
        <w:rPr>
          <w:rFonts w:ascii="Times New Roman" w:eastAsia="Times New Roman" w:hAnsi="Times New Roman" w:cs="Times New Roman"/>
          <w:b/>
          <w:color w:val="000000"/>
          <w:sz w:val="24"/>
          <w:szCs w:val="24"/>
        </w:rPr>
        <w:t xml:space="preserve"> AG 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10.2.1 Overview  </w:t>
      </w:r>
      <w:r>
        <w:rPr>
          <w:rFonts w:ascii="Times New Roman" w:eastAsia="Times New Roman" w:hAnsi="Times New Roman" w:cs="Times New Roman"/>
          <w:color w:val="000000"/>
          <w:sz w:val="24"/>
          <w:szCs w:val="24"/>
        </w:rPr>
        <w:br/>
        <w:t>10.2.2 Financial Performance  </w:t>
      </w:r>
      <w:r>
        <w:rPr>
          <w:rFonts w:ascii="Times New Roman" w:eastAsia="Times New Roman" w:hAnsi="Times New Roman" w:cs="Times New Roman"/>
          <w:color w:val="000000"/>
          <w:sz w:val="24"/>
          <w:szCs w:val="24"/>
        </w:rPr>
        <w:br/>
        <w:t>10.2.3 Product Outlook  </w:t>
      </w:r>
      <w:r>
        <w:rPr>
          <w:rFonts w:ascii="Times New Roman" w:eastAsia="Times New Roman" w:hAnsi="Times New Roman" w:cs="Times New Roman"/>
          <w:color w:val="000000"/>
          <w:sz w:val="24"/>
          <w:szCs w:val="24"/>
        </w:rPr>
        <w:br/>
        <w:t>10.2.4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noProof/>
          <w:color w:val="000000"/>
          <w:sz w:val="24"/>
          <w:szCs w:val="24"/>
          <w:lang w:val="en-IN"/>
        </w:rPr>
        <w:drawing>
          <wp:anchor distT="0" distB="0" distL="0" distR="0" simplePos="0" relativeHeight="251667456" behindDoc="1" locked="0" layoutInCell="1" hidden="0" allowOverlap="1">
            <wp:simplePos x="0" y="0"/>
            <wp:positionH relativeFrom="page">
              <wp:posOffset>-11429</wp:posOffset>
            </wp:positionH>
            <wp:positionV relativeFrom="page">
              <wp:posOffset>-472439</wp:posOffset>
            </wp:positionV>
            <wp:extent cx="10222230" cy="14455140"/>
            <wp:effectExtent l="0" t="0" r="0" b="0"/>
            <wp:wrapNone/>
            <wp:docPr id="4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 xml:space="preserve">10.3 </w:t>
      </w:r>
      <w:proofErr w:type="spellStart"/>
      <w:r>
        <w:rPr>
          <w:rFonts w:ascii="Times New Roman" w:eastAsia="Times New Roman" w:hAnsi="Times New Roman" w:cs="Times New Roman"/>
          <w:b/>
          <w:color w:val="000000"/>
          <w:sz w:val="24"/>
          <w:szCs w:val="24"/>
        </w:rPr>
        <w:t>Koninklijke</w:t>
      </w:r>
      <w:proofErr w:type="spellEnd"/>
      <w:r>
        <w:rPr>
          <w:rFonts w:ascii="Times New Roman" w:eastAsia="Times New Roman" w:hAnsi="Times New Roman" w:cs="Times New Roman"/>
          <w:b/>
          <w:color w:val="000000"/>
          <w:sz w:val="24"/>
          <w:szCs w:val="24"/>
        </w:rPr>
        <w:t xml:space="preserve"> Philips N.V. 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10.3.1 Overview  </w:t>
      </w:r>
      <w:r>
        <w:rPr>
          <w:rFonts w:ascii="Times New Roman" w:eastAsia="Times New Roman" w:hAnsi="Times New Roman" w:cs="Times New Roman"/>
          <w:color w:val="000000"/>
          <w:sz w:val="24"/>
          <w:szCs w:val="24"/>
        </w:rPr>
        <w:br/>
        <w:t>10.3.2 Financial Performance  </w:t>
      </w:r>
      <w:r>
        <w:rPr>
          <w:rFonts w:ascii="Times New Roman" w:eastAsia="Times New Roman" w:hAnsi="Times New Roman" w:cs="Times New Roman"/>
          <w:color w:val="000000"/>
          <w:sz w:val="24"/>
          <w:szCs w:val="24"/>
        </w:rPr>
        <w:br/>
        <w:t>10.3.3 Product Outlook  </w:t>
      </w:r>
      <w:r>
        <w:rPr>
          <w:rFonts w:ascii="Times New Roman" w:eastAsia="Times New Roman" w:hAnsi="Times New Roman" w:cs="Times New Roman"/>
          <w:color w:val="000000"/>
          <w:sz w:val="24"/>
          <w:szCs w:val="24"/>
        </w:rPr>
        <w:br/>
        <w:t>10.3.4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10.4 Canon Medical Systems Corporation 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10.4.1 Overview  </w:t>
      </w:r>
      <w:r>
        <w:rPr>
          <w:rFonts w:ascii="Times New Roman" w:eastAsia="Times New Roman" w:hAnsi="Times New Roman" w:cs="Times New Roman"/>
          <w:color w:val="000000"/>
          <w:sz w:val="24"/>
          <w:szCs w:val="24"/>
        </w:rPr>
        <w:br/>
        <w:t>10.4.2 Financial Performance  </w:t>
      </w:r>
      <w:r>
        <w:rPr>
          <w:rFonts w:ascii="Times New Roman" w:eastAsia="Times New Roman" w:hAnsi="Times New Roman" w:cs="Times New Roman"/>
          <w:color w:val="000000"/>
          <w:sz w:val="24"/>
          <w:szCs w:val="24"/>
        </w:rPr>
        <w:br/>
        <w:t>10.4.3 Product Outlook  </w:t>
      </w:r>
      <w:r>
        <w:rPr>
          <w:rFonts w:ascii="Times New Roman" w:eastAsia="Times New Roman" w:hAnsi="Times New Roman" w:cs="Times New Roman"/>
          <w:color w:val="000000"/>
          <w:sz w:val="24"/>
          <w:szCs w:val="24"/>
        </w:rPr>
        <w:br/>
        <w:t>10.4.4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10.5 FUJIFILM Holdings Corporation 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10.5.1 Overview  </w:t>
      </w:r>
      <w:r>
        <w:rPr>
          <w:rFonts w:ascii="Times New Roman" w:eastAsia="Times New Roman" w:hAnsi="Times New Roman" w:cs="Times New Roman"/>
          <w:color w:val="000000"/>
          <w:sz w:val="24"/>
          <w:szCs w:val="24"/>
        </w:rPr>
        <w:br/>
        <w:t>10.5.2 Financial Performance  </w:t>
      </w:r>
      <w:r>
        <w:rPr>
          <w:rFonts w:ascii="Times New Roman" w:eastAsia="Times New Roman" w:hAnsi="Times New Roman" w:cs="Times New Roman"/>
          <w:color w:val="000000"/>
          <w:sz w:val="24"/>
          <w:szCs w:val="24"/>
        </w:rPr>
        <w:br/>
        <w:t>10.5.3 Product Outlook  </w:t>
      </w:r>
      <w:r>
        <w:rPr>
          <w:rFonts w:ascii="Times New Roman" w:eastAsia="Times New Roman" w:hAnsi="Times New Roman" w:cs="Times New Roman"/>
          <w:color w:val="000000"/>
          <w:sz w:val="24"/>
          <w:szCs w:val="24"/>
        </w:rPr>
        <w:br/>
        <w:t>10.5.4</w:t>
      </w:r>
      <w:r>
        <w:rPr>
          <w:rFonts w:ascii="Times New Roman" w:eastAsia="Times New Roman" w:hAnsi="Times New Roman" w:cs="Times New Roman"/>
          <w:color w:val="000000"/>
          <w:sz w:val="24"/>
          <w:szCs w:val="24"/>
        </w:rPr>
        <w:t xml:space="preserve">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 xml:space="preserve">10.6 </w:t>
      </w:r>
      <w:proofErr w:type="spellStart"/>
      <w:r>
        <w:rPr>
          <w:rFonts w:ascii="Times New Roman" w:eastAsia="Times New Roman" w:hAnsi="Times New Roman" w:cs="Times New Roman"/>
          <w:b/>
          <w:color w:val="000000"/>
          <w:sz w:val="24"/>
          <w:szCs w:val="24"/>
        </w:rPr>
        <w:t>Hologic</w:t>
      </w:r>
      <w:proofErr w:type="spellEnd"/>
      <w:r>
        <w:rPr>
          <w:rFonts w:ascii="Times New Roman" w:eastAsia="Times New Roman" w:hAnsi="Times New Roman" w:cs="Times New Roman"/>
          <w:b/>
          <w:color w:val="000000"/>
          <w:sz w:val="24"/>
          <w:szCs w:val="24"/>
        </w:rPr>
        <w:t xml:space="preserve"> Inc. 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10.6.1 Overview  </w:t>
      </w:r>
      <w:r>
        <w:rPr>
          <w:rFonts w:ascii="Times New Roman" w:eastAsia="Times New Roman" w:hAnsi="Times New Roman" w:cs="Times New Roman"/>
          <w:color w:val="000000"/>
          <w:sz w:val="24"/>
          <w:szCs w:val="24"/>
        </w:rPr>
        <w:br/>
        <w:t>10.6.2 Financial Performance  </w:t>
      </w:r>
      <w:r>
        <w:rPr>
          <w:rFonts w:ascii="Times New Roman" w:eastAsia="Times New Roman" w:hAnsi="Times New Roman" w:cs="Times New Roman"/>
          <w:color w:val="000000"/>
          <w:sz w:val="24"/>
          <w:szCs w:val="24"/>
        </w:rPr>
        <w:br/>
        <w:t>10.6.3 Product Outlook  </w:t>
      </w:r>
      <w:r>
        <w:rPr>
          <w:rFonts w:ascii="Times New Roman" w:eastAsia="Times New Roman" w:hAnsi="Times New Roman" w:cs="Times New Roman"/>
          <w:color w:val="000000"/>
          <w:sz w:val="24"/>
          <w:szCs w:val="24"/>
        </w:rPr>
        <w:br/>
        <w:t>10.6.4 Key Developments  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lastRenderedPageBreak/>
        <w:t xml:space="preserve">10.7 Samsung </w:t>
      </w:r>
      <w:proofErr w:type="spellStart"/>
      <w:r>
        <w:rPr>
          <w:rFonts w:ascii="Times New Roman" w:eastAsia="Times New Roman" w:hAnsi="Times New Roman" w:cs="Times New Roman"/>
          <w:b/>
          <w:color w:val="000000"/>
          <w:sz w:val="24"/>
          <w:szCs w:val="24"/>
        </w:rPr>
        <w:t>Medison</w:t>
      </w:r>
      <w:proofErr w:type="spellEnd"/>
      <w:r>
        <w:rPr>
          <w:rFonts w:ascii="Times New Roman" w:eastAsia="Times New Roman" w:hAnsi="Times New Roman" w:cs="Times New Roman"/>
          <w:b/>
          <w:color w:val="000000"/>
          <w:sz w:val="24"/>
          <w:szCs w:val="24"/>
        </w:rPr>
        <w:t xml:space="preserve"> Co. Ltd. 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10.7.1 Overview  </w:t>
      </w:r>
      <w:r>
        <w:rPr>
          <w:rFonts w:ascii="Times New Roman" w:eastAsia="Times New Roman" w:hAnsi="Times New Roman" w:cs="Times New Roman"/>
          <w:color w:val="000000"/>
          <w:sz w:val="24"/>
          <w:szCs w:val="24"/>
        </w:rPr>
        <w:br/>
        <w:t>10.7.2 Financial Performance  </w:t>
      </w:r>
      <w:r>
        <w:rPr>
          <w:rFonts w:ascii="Times New Roman" w:eastAsia="Times New Roman" w:hAnsi="Times New Roman" w:cs="Times New Roman"/>
          <w:color w:val="000000"/>
          <w:sz w:val="24"/>
          <w:szCs w:val="24"/>
        </w:rPr>
        <w:br/>
        <w:t>10.7.3 Product Outlook  </w:t>
      </w:r>
      <w:r>
        <w:rPr>
          <w:rFonts w:ascii="Times New Roman" w:eastAsia="Times New Roman" w:hAnsi="Times New Roman" w:cs="Times New Roman"/>
          <w:color w:val="000000"/>
          <w:sz w:val="24"/>
          <w:szCs w:val="24"/>
        </w:rPr>
        <w:br/>
        <w:t>10.7.4 Key D</w:t>
      </w:r>
      <w:r>
        <w:rPr>
          <w:rFonts w:ascii="Times New Roman" w:eastAsia="Times New Roman" w:hAnsi="Times New Roman" w:cs="Times New Roman"/>
          <w:color w:val="000000"/>
          <w:sz w:val="24"/>
          <w:szCs w:val="24"/>
        </w:rPr>
        <w:t>evelopments  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10.8 Shimadzu Corporation 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10.8.1 Overview  </w:t>
      </w:r>
      <w:r>
        <w:rPr>
          <w:rFonts w:ascii="Times New Roman" w:eastAsia="Times New Roman" w:hAnsi="Times New Roman" w:cs="Times New Roman"/>
          <w:color w:val="000000"/>
          <w:sz w:val="24"/>
          <w:szCs w:val="24"/>
        </w:rPr>
        <w:br/>
        <w:t>10.8.2 Financial Performance  </w:t>
      </w:r>
      <w:r>
        <w:rPr>
          <w:rFonts w:ascii="Times New Roman" w:eastAsia="Times New Roman" w:hAnsi="Times New Roman" w:cs="Times New Roman"/>
          <w:color w:val="000000"/>
          <w:sz w:val="24"/>
          <w:szCs w:val="24"/>
        </w:rPr>
        <w:br/>
        <w:t>10.8.3 Product Outlook  </w:t>
      </w:r>
      <w:r>
        <w:rPr>
          <w:rFonts w:ascii="Times New Roman" w:eastAsia="Times New Roman" w:hAnsi="Times New Roman" w:cs="Times New Roman"/>
          <w:color w:val="000000"/>
          <w:sz w:val="24"/>
          <w:szCs w:val="24"/>
        </w:rPr>
        <w:br/>
        <w:t>10.8.4 Key Developments  </w:t>
      </w:r>
    </w:p>
    <w:p w:rsidR="009C6BDD" w:rsidRDefault="002F4051">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b/>
          <w:noProof/>
          <w:color w:val="000000"/>
          <w:sz w:val="24"/>
          <w:szCs w:val="24"/>
          <w:lang w:val="en-IN"/>
        </w:rPr>
        <w:drawing>
          <wp:anchor distT="0" distB="0" distL="0" distR="0" simplePos="0" relativeHeight="251668480" behindDoc="1" locked="0" layoutInCell="1" hidden="0" allowOverlap="1">
            <wp:simplePos x="0" y="0"/>
            <wp:positionH relativeFrom="page">
              <wp:posOffset>-49529</wp:posOffset>
            </wp:positionH>
            <wp:positionV relativeFrom="page">
              <wp:posOffset>-38099</wp:posOffset>
            </wp:positionV>
            <wp:extent cx="10222230" cy="14455140"/>
            <wp:effectExtent l="0" t="0" r="0" b="0"/>
            <wp:wrapNone/>
            <wp:docPr id="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8"/>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KEY DEVELOPMENTS</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11.1 Product Launches/Developments </w:t>
      </w:r>
      <w:r>
        <w:rPr>
          <w:rFonts w:ascii="Times New Roman" w:eastAsia="Times New Roman" w:hAnsi="Times New Roman" w:cs="Times New Roman"/>
          <w:color w:val="000000"/>
          <w:sz w:val="24"/>
          <w:szCs w:val="24"/>
        </w:rPr>
        <w:br/>
        <w:t>11.2 Mergers and Acquisitions </w:t>
      </w:r>
      <w:r>
        <w:rPr>
          <w:rFonts w:ascii="Times New Roman" w:eastAsia="Times New Roman" w:hAnsi="Times New Roman" w:cs="Times New Roman"/>
          <w:color w:val="000000"/>
          <w:sz w:val="24"/>
          <w:szCs w:val="24"/>
        </w:rPr>
        <w:br/>
        <w:t>11.3 Business Expansions 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11.4 Partnerships and Collaborations </w:t>
      </w:r>
    </w:p>
    <w:p w:rsidR="009C6BDD" w:rsidRDefault="002F4051">
      <w:pPr>
        <w:numPr>
          <w:ilvl w:val="0"/>
          <w:numId w:val="1"/>
        </w:numPr>
        <w:pBdr>
          <w:top w:val="nil"/>
          <w:left w:val="nil"/>
          <w:bottom w:val="nil"/>
          <w:right w:val="nil"/>
          <w:between w:val="nil"/>
        </w:pBdr>
        <w:spacing w:after="280" w:line="360" w:lineRule="auto"/>
      </w:pPr>
      <w:r>
        <w:rPr>
          <w:rFonts w:ascii="Times New Roman" w:eastAsia="Times New Roman" w:hAnsi="Times New Roman" w:cs="Times New Roman"/>
          <w:b/>
          <w:color w:val="000000"/>
          <w:sz w:val="24"/>
          <w:szCs w:val="24"/>
        </w:rPr>
        <w:t>APPENDIX</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12.1 Related Research </w:t>
      </w:r>
    </w:p>
    <w:p w:rsidR="009C6BDD" w:rsidRDefault="009C6BDD">
      <w:pPr>
        <w:spacing w:line="360" w:lineRule="auto"/>
        <w:jc w:val="both"/>
      </w:pPr>
    </w:p>
    <w:sectPr w:rsidR="009C6BDD">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051" w:rsidRDefault="002F4051">
      <w:pPr>
        <w:spacing w:after="0" w:line="240" w:lineRule="auto"/>
      </w:pPr>
      <w:r>
        <w:separator/>
      </w:r>
    </w:p>
  </w:endnote>
  <w:endnote w:type="continuationSeparator" w:id="0">
    <w:p w:rsidR="002F4051" w:rsidRDefault="002F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BDD" w:rsidRDefault="009C6BD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051" w:rsidRDefault="002F4051">
      <w:pPr>
        <w:spacing w:after="0" w:line="240" w:lineRule="auto"/>
      </w:pPr>
      <w:r>
        <w:separator/>
      </w:r>
    </w:p>
  </w:footnote>
  <w:footnote w:type="continuationSeparator" w:id="0">
    <w:p w:rsidR="002F4051" w:rsidRDefault="002F4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C7EAF"/>
    <w:multiLevelType w:val="multilevel"/>
    <w:tmpl w:val="98EAB2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DD"/>
    <w:rsid w:val="002F4051"/>
    <w:rsid w:val="009C6BDD"/>
    <w:rsid w:val="00A1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F70E"/>
  <w15:docId w15:val="{9B890559-6309-4747-BD0D-F6A5D570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031440"/>
    <w:pPr>
      <w:spacing w:before="100" w:beforeAutospacing="1" w:after="100" w:afterAutospacing="1" w:line="240" w:lineRule="auto"/>
    </w:pPr>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031440"/>
    <w:rPr>
      <w:smallCaps/>
      <w:color w:val="C0504D" w:themeColor="accent2"/>
      <w:u w:val="single"/>
    </w:rPr>
  </w:style>
  <w:style w:type="character" w:styleId="Strong">
    <w:name w:val="Strong"/>
    <w:basedOn w:val="DefaultParagraphFont"/>
    <w:uiPriority w:val="22"/>
    <w:qFormat/>
    <w:rsid w:val="00031440"/>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B0fLLxOfxlxxaE0hIJXbiESg==">CgMxLjA4AHIhMUpRUTM5OFJoZTNJRzVlQ3c0Y2N5VGlFZlYyS0JsQm92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2025-04-20T20:17:00Z</dcterms:created>
  <dcterms:modified xsi:type="dcterms:W3CDTF">2025-05-18T17:43:00Z</dcterms:modified>
</cp:coreProperties>
</file>