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18D" w:rsidRDefault="00C83CE7">
      <w:pPr>
        <w:spacing w:line="360" w:lineRule="auto"/>
        <w:jc w:val="both"/>
        <w:rPr>
          <w:rFonts w:ascii="Libre Franklin" w:eastAsia="Libre Franklin" w:hAnsi="Libre Franklin" w:cs="Libre Franklin"/>
          <w:b/>
          <w:color w:val="002060"/>
          <w:sz w:val="24"/>
          <w:szCs w:val="24"/>
        </w:rPr>
      </w:pPr>
      <w:bookmarkStart w:id="0" w:name="_heading=h.jvvqpanbgooo" w:colFirst="0" w:colLast="0"/>
      <w:bookmarkEnd w:id="0"/>
      <w:r>
        <w:rPr>
          <w:rFonts w:ascii="Libre Franklin" w:eastAsia="Libre Franklin" w:hAnsi="Libre Franklin" w:cs="Libre Franklin"/>
          <w:b/>
          <w:noProof/>
          <w:color w:val="002060"/>
          <w:sz w:val="24"/>
          <w:szCs w:val="24"/>
        </w:rPr>
        <w:drawing>
          <wp:anchor distT="0" distB="0" distL="0" distR="0" simplePos="0" relativeHeight="251658240" behindDoc="1" locked="0" layoutInCell="1" hidden="0" allowOverlap="1">
            <wp:simplePos x="0" y="0"/>
            <wp:positionH relativeFrom="page">
              <wp:posOffset>-146683</wp:posOffset>
            </wp:positionH>
            <wp:positionV relativeFrom="page">
              <wp:posOffset>-921384</wp:posOffset>
            </wp:positionV>
            <wp:extent cx="10220215" cy="14454202"/>
            <wp:effectExtent l="0" t="0" r="0" b="0"/>
            <wp:wrapNone/>
            <wp:docPr id="198672823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Digital Health for Cardiovascular Market</w:t>
      </w:r>
    </w:p>
    <w:p w:rsidR="002B718D" w:rsidRDefault="00C83CE7">
      <w:pPr>
        <w:spacing w:before="240" w:after="240" w:line="360" w:lineRule="auto"/>
        <w:jc w:val="both"/>
        <w:rPr>
          <w:rFonts w:ascii="Arial" w:eastAsia="Arial" w:hAnsi="Arial" w:cs="Arial"/>
          <w:color w:val="1F3864"/>
          <w:sz w:val="24"/>
          <w:szCs w:val="24"/>
        </w:rPr>
      </w:pPr>
      <w:r>
        <w:rPr>
          <w:rFonts w:ascii="Arial" w:eastAsia="Arial" w:hAnsi="Arial" w:cs="Arial"/>
          <w:color w:val="1F3864"/>
          <w:sz w:val="24"/>
          <w:szCs w:val="24"/>
        </w:rPr>
        <w:t xml:space="preserve">According to </w:t>
      </w:r>
      <w:proofErr w:type="spellStart"/>
      <w:r>
        <w:rPr>
          <w:rFonts w:ascii="Arial" w:eastAsia="Arial" w:hAnsi="Arial" w:cs="Arial"/>
          <w:color w:val="1F3864"/>
          <w:sz w:val="24"/>
          <w:szCs w:val="24"/>
        </w:rPr>
        <w:t>Intelli</w:t>
      </w:r>
      <w:proofErr w:type="spellEnd"/>
      <w:r>
        <w:rPr>
          <w:rFonts w:ascii="Arial" w:eastAsia="Arial" w:hAnsi="Arial" w:cs="Arial"/>
          <w:color w:val="1F3864"/>
          <w:sz w:val="24"/>
          <w:szCs w:val="24"/>
        </w:rPr>
        <w:t>, the U.S. Digital Health for Cardiovascular Market size was valued at USD 24,493.85 Million in 2024 and is projected to reach USD 52,963.40 Million by 2032, growing at a compound annual growth rate (CAGR) of 10.54</w:t>
      </w:r>
      <w:proofErr w:type="gramStart"/>
      <w:r>
        <w:rPr>
          <w:rFonts w:ascii="Arial" w:eastAsia="Arial" w:hAnsi="Arial" w:cs="Arial"/>
          <w:color w:val="1F3864"/>
          <w:sz w:val="24"/>
          <w:szCs w:val="24"/>
        </w:rPr>
        <w:t>%  during</w:t>
      </w:r>
      <w:proofErr w:type="gramEnd"/>
      <w:r>
        <w:rPr>
          <w:rFonts w:ascii="Arial" w:eastAsia="Arial" w:hAnsi="Arial" w:cs="Arial"/>
          <w:color w:val="1F3864"/>
          <w:sz w:val="24"/>
          <w:szCs w:val="24"/>
        </w:rPr>
        <w:t xml:space="preserve"> the forecast</w:t>
      </w:r>
      <w:r>
        <w:rPr>
          <w:rFonts w:ascii="Arial" w:eastAsia="Arial" w:hAnsi="Arial" w:cs="Arial"/>
          <w:color w:val="1F3864"/>
          <w:sz w:val="24"/>
          <w:szCs w:val="24"/>
        </w:rPr>
        <w:t xml:space="preserve"> period of 2024 to 2032.</w:t>
      </w:r>
    </w:p>
    <w:p w:rsidR="00C83CE7" w:rsidRDefault="00C83CE7">
      <w:pPr>
        <w:spacing w:before="240" w:after="240" w:line="360" w:lineRule="auto"/>
        <w:jc w:val="both"/>
        <w:rPr>
          <w:rFonts w:ascii="Arial" w:eastAsia="Arial" w:hAnsi="Arial" w:cs="Arial"/>
          <w:color w:val="1F3864"/>
          <w:sz w:val="24"/>
          <w:szCs w:val="24"/>
        </w:rPr>
      </w:pPr>
      <w:bookmarkStart w:id="1" w:name="_GoBack"/>
      <w:r>
        <w:rPr>
          <w:rFonts w:ascii="Arial" w:eastAsia="Arial" w:hAnsi="Arial" w:cs="Arial"/>
          <w:noProof/>
          <w:color w:val="1F3864"/>
          <w:sz w:val="24"/>
          <w:szCs w:val="24"/>
        </w:rPr>
        <w:drawing>
          <wp:inline distT="0" distB="0" distL="0" distR="0">
            <wp:extent cx="57315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Digit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bookmarkEnd w:id="1"/>
    </w:p>
    <w:p w:rsidR="002B718D" w:rsidRDefault="00C83CE7">
      <w:pPr>
        <w:spacing w:line="360" w:lineRule="auto"/>
        <w:jc w:val="both"/>
        <w:rPr>
          <w:rFonts w:ascii="Libre Franklin" w:eastAsia="Libre Franklin" w:hAnsi="Libre Franklin" w:cs="Libre Franklin"/>
          <w:color w:val="002060"/>
          <w:sz w:val="24"/>
          <w:szCs w:val="24"/>
        </w:rPr>
      </w:pPr>
      <w:bookmarkStart w:id="2" w:name="_heading=h.wif2kk20zg0i" w:colFirst="0" w:colLast="0"/>
      <w:bookmarkEnd w:id="2"/>
      <w:r>
        <w:rPr>
          <w:rFonts w:ascii="Libre Franklin" w:eastAsia="Libre Franklin" w:hAnsi="Libre Franklin" w:cs="Libre Franklin"/>
          <w:color w:val="002060"/>
          <w:sz w:val="24"/>
          <w:szCs w:val="24"/>
        </w:rPr>
        <w:t>Digital health is transforming cardiovascular care by integrating advanced technologies such as wearable devices, remote monitoring systems, mobile health apps, and AI-powered diagnostics to improve prevention, diagnosis, and treat</w:t>
      </w:r>
      <w:r>
        <w:rPr>
          <w:rFonts w:ascii="Libre Franklin" w:eastAsia="Libre Franklin" w:hAnsi="Libre Franklin" w:cs="Libre Franklin"/>
          <w:color w:val="002060"/>
          <w:sz w:val="24"/>
          <w:szCs w:val="24"/>
        </w:rPr>
        <w:t>ment of heart-related conditions. Through real-time data collection and continuous patient monitoring, digital health tools enable early detection of anomalies like arrhythmias or hypertension, allowing for timely intervention and reducing hospital readmis</w:t>
      </w:r>
      <w:r>
        <w:rPr>
          <w:rFonts w:ascii="Libre Franklin" w:eastAsia="Libre Franklin" w:hAnsi="Libre Franklin" w:cs="Libre Franklin"/>
          <w:color w:val="002060"/>
          <w:sz w:val="24"/>
          <w:szCs w:val="24"/>
        </w:rPr>
        <w:t xml:space="preserve">sions. </w:t>
      </w:r>
      <w:proofErr w:type="spellStart"/>
      <w:r>
        <w:rPr>
          <w:rFonts w:ascii="Libre Franklin" w:eastAsia="Libre Franklin" w:hAnsi="Libre Franklin" w:cs="Libre Franklin"/>
          <w:color w:val="002060"/>
          <w:sz w:val="24"/>
          <w:szCs w:val="24"/>
        </w:rPr>
        <w:t>Telecardiology</w:t>
      </w:r>
      <w:proofErr w:type="spellEnd"/>
      <w:r>
        <w:rPr>
          <w:rFonts w:ascii="Libre Franklin" w:eastAsia="Libre Franklin" w:hAnsi="Libre Franklin" w:cs="Libre Franklin"/>
          <w:color w:val="002060"/>
          <w:sz w:val="24"/>
          <w:szCs w:val="24"/>
        </w:rPr>
        <w:t xml:space="preserve"> platforms are revolutionizing how cardiac care is delivered by bridging the gap between patients and cardiovascular specialists, especially in underserved, rural, or geographically isolated regions. These platforms use secure video co</w:t>
      </w:r>
      <w:r>
        <w:rPr>
          <w:rFonts w:ascii="Libre Franklin" w:eastAsia="Libre Franklin" w:hAnsi="Libre Franklin" w:cs="Libre Franklin"/>
          <w:color w:val="002060"/>
          <w:sz w:val="24"/>
          <w:szCs w:val="24"/>
        </w:rPr>
        <w:t>nferencing, cloud-based diagnostic tools, and remote ECG monitoring to facilitate timely consultations, second opinions, and follow-up care without requiring patients to travel long distances. This not only ensures continuity of care for individuals with c</w:t>
      </w:r>
      <w:r>
        <w:rPr>
          <w:rFonts w:ascii="Libre Franklin" w:eastAsia="Libre Franklin" w:hAnsi="Libre Franklin" w:cs="Libre Franklin"/>
          <w:color w:val="002060"/>
          <w:sz w:val="24"/>
          <w:szCs w:val="24"/>
        </w:rPr>
        <w:t xml:space="preserve">hronic heart conditions but also supports early intervention in acute cases such as suspected heart attacks or arrhythmias. Moreover, the integration of big data and machine learning is </w:t>
      </w:r>
      <w:r>
        <w:rPr>
          <w:rFonts w:ascii="Libre Franklin" w:eastAsia="Libre Franklin" w:hAnsi="Libre Franklin" w:cs="Libre Franklin"/>
          <w:color w:val="002060"/>
          <w:sz w:val="24"/>
          <w:szCs w:val="24"/>
        </w:rPr>
        <w:lastRenderedPageBreak/>
        <w:t>enhancing risk prediction models, facilitating precision medicine, and</w:t>
      </w:r>
      <w:r>
        <w:rPr>
          <w:rFonts w:ascii="Libre Franklin" w:eastAsia="Libre Franklin" w:hAnsi="Libre Franklin" w:cs="Libre Franklin"/>
          <w:color w:val="002060"/>
          <w:sz w:val="24"/>
          <w:szCs w:val="24"/>
        </w:rPr>
        <w:t xml:space="preserve"> optimizing treatment pathways. Overall, digital health is not only improving clinical outcomes but also lowering healthcare costs and reshaping how cardiovascular care is delivered globally.</w:t>
      </w:r>
    </w:p>
    <w:p w:rsidR="002B718D" w:rsidRDefault="002B718D">
      <w:pPr>
        <w:spacing w:line="360" w:lineRule="auto"/>
        <w:jc w:val="both"/>
        <w:rPr>
          <w:rFonts w:ascii="Libre Franklin" w:eastAsia="Libre Franklin" w:hAnsi="Libre Franklin" w:cs="Libre Franklin"/>
          <w:b/>
          <w:color w:val="002060"/>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Digital Health for Cardiovascular Market Definition</w:t>
      </w:r>
    </w:p>
    <w:p w:rsidR="002B718D" w:rsidRDefault="00C83CE7">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w:t>
      </w:r>
      <w:r>
        <w:rPr>
          <w:rFonts w:ascii="Libre Franklin" w:eastAsia="Libre Franklin" w:hAnsi="Libre Franklin" w:cs="Libre Franklin"/>
          <w:color w:val="002060"/>
          <w:sz w:val="24"/>
          <w:szCs w:val="24"/>
        </w:rPr>
        <w:t>S. digital health for cardiovascular market refers to the ecosystem of digital technologies, platforms, and services specifically designed to support the prevention, early detection, diagnosis, monitoring, and treatment of cardiovascular diseases. At its c</w:t>
      </w:r>
      <w:r>
        <w:rPr>
          <w:rFonts w:ascii="Libre Franklin" w:eastAsia="Libre Franklin" w:hAnsi="Libre Franklin" w:cs="Libre Franklin"/>
          <w:color w:val="002060"/>
          <w:sz w:val="24"/>
          <w:szCs w:val="24"/>
        </w:rPr>
        <w:t xml:space="preserve">ore, the market aims to address the growing burden of cardiovascular diseases by improving care delivery, enabling real-time monitoring, enhancing clinical decision-making, and increasing patient engagement. It integrates innovations such as </w:t>
      </w:r>
      <w:proofErr w:type="spellStart"/>
      <w:r>
        <w:rPr>
          <w:rFonts w:ascii="Libre Franklin" w:eastAsia="Libre Franklin" w:hAnsi="Libre Franklin" w:cs="Libre Franklin"/>
          <w:color w:val="002060"/>
          <w:sz w:val="24"/>
          <w:szCs w:val="24"/>
        </w:rPr>
        <w:t>telecardiology</w:t>
      </w:r>
      <w:proofErr w:type="spellEnd"/>
      <w:r>
        <w:rPr>
          <w:rFonts w:ascii="Libre Franklin" w:eastAsia="Libre Franklin" w:hAnsi="Libre Franklin" w:cs="Libre Franklin"/>
          <w:color w:val="002060"/>
          <w:sz w:val="24"/>
          <w:szCs w:val="24"/>
        </w:rPr>
        <w:t xml:space="preserve"> systems, wearable heart monitors, remote patient monitoring devices, mobile health (</w:t>
      </w:r>
      <w:proofErr w:type="spellStart"/>
      <w:r>
        <w:rPr>
          <w:rFonts w:ascii="Libre Franklin" w:eastAsia="Libre Franklin" w:hAnsi="Libre Franklin" w:cs="Libre Franklin"/>
          <w:color w:val="002060"/>
          <w:sz w:val="24"/>
          <w:szCs w:val="24"/>
        </w:rPr>
        <w:t>mHealth</w:t>
      </w:r>
      <w:proofErr w:type="spellEnd"/>
      <w:r>
        <w:rPr>
          <w:rFonts w:ascii="Libre Franklin" w:eastAsia="Libre Franklin" w:hAnsi="Libre Franklin" w:cs="Libre Franklin"/>
          <w:color w:val="002060"/>
          <w:sz w:val="24"/>
          <w:szCs w:val="24"/>
        </w:rPr>
        <w:t>) applications, electronic health records (EHRs), and AI-based diagnostic tools.</w:t>
      </w:r>
    </w:p>
    <w:p w:rsidR="002B718D" w:rsidRDefault="002B718D">
      <w:pPr>
        <w:spacing w:line="360" w:lineRule="auto"/>
        <w:jc w:val="both"/>
        <w:rPr>
          <w:rFonts w:ascii="Libre Franklin" w:eastAsia="Libre Franklin" w:hAnsi="Libre Franklin" w:cs="Libre Franklin"/>
          <w:b/>
          <w:color w:val="002060"/>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-533399</wp:posOffset>
            </wp:positionH>
            <wp:positionV relativeFrom="page">
              <wp:posOffset>-1056639</wp:posOffset>
            </wp:positionV>
            <wp:extent cx="10220215" cy="14454202"/>
            <wp:effectExtent l="0" t="0" r="0" b="0"/>
            <wp:wrapNone/>
            <wp:docPr id="198672824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U.S. Digital Health for Cardiovascular Market Overview</w:t>
      </w:r>
    </w:p>
    <w:p w:rsidR="002B718D" w:rsidRDefault="00C83CE7">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digital health fo</w:t>
      </w:r>
      <w:r>
        <w:rPr>
          <w:rFonts w:ascii="Libre Franklin" w:eastAsia="Libre Franklin" w:hAnsi="Libre Franklin" w:cs="Libre Franklin"/>
          <w:color w:val="002060"/>
          <w:sz w:val="24"/>
          <w:szCs w:val="24"/>
        </w:rPr>
        <w:t>r cardiovascular market is experiencing robust growth, driven by several key factors reshaping the healthcare landscape. One of the primary drivers is the rising prevalence of cardiovascular diseases, which remain the leading cause of death in the U.S., cr</w:t>
      </w:r>
      <w:r>
        <w:rPr>
          <w:rFonts w:ascii="Libre Franklin" w:eastAsia="Libre Franklin" w:hAnsi="Libre Franklin" w:cs="Libre Franklin"/>
          <w:color w:val="002060"/>
          <w:sz w:val="24"/>
          <w:szCs w:val="24"/>
        </w:rPr>
        <w:t xml:space="preserve">eating an urgent need for effective, scalable, and proactive care solutions. The increasing adoption of wearable devices and remote patient monitoring tools is </w:t>
      </w:r>
      <w:proofErr w:type="spellStart"/>
      <w:r>
        <w:rPr>
          <w:rFonts w:ascii="Libre Franklin" w:eastAsia="Libre Franklin" w:hAnsi="Libre Franklin" w:cs="Libre Franklin"/>
          <w:color w:val="002060"/>
          <w:sz w:val="24"/>
          <w:szCs w:val="24"/>
        </w:rPr>
        <w:t>fueling</w:t>
      </w:r>
      <w:proofErr w:type="spellEnd"/>
      <w:r>
        <w:rPr>
          <w:rFonts w:ascii="Libre Franklin" w:eastAsia="Libre Franklin" w:hAnsi="Libre Franklin" w:cs="Libre Franklin"/>
          <w:color w:val="002060"/>
          <w:sz w:val="24"/>
          <w:szCs w:val="24"/>
        </w:rPr>
        <w:t xml:space="preserve"> demand for continuous health tracking and early detection of cardiac events. Additionall</w:t>
      </w:r>
      <w:r>
        <w:rPr>
          <w:rFonts w:ascii="Libre Franklin" w:eastAsia="Libre Franklin" w:hAnsi="Libre Franklin" w:cs="Libre Franklin"/>
          <w:color w:val="002060"/>
          <w:sz w:val="24"/>
          <w:szCs w:val="24"/>
        </w:rPr>
        <w:t>y, the shift toward value-based care and outcome-driven reimbursement models is encouraging healthcare providers to adopt digital tools that improve efficiency, reduce hospital readmissions, and enhance patient outcomes. Advancements in technologies such a</w:t>
      </w:r>
      <w:r>
        <w:rPr>
          <w:rFonts w:ascii="Libre Franklin" w:eastAsia="Libre Franklin" w:hAnsi="Libre Franklin" w:cs="Libre Franklin"/>
          <w:color w:val="002060"/>
          <w:sz w:val="24"/>
          <w:szCs w:val="24"/>
        </w:rPr>
        <w:t xml:space="preserve">s artificial intelligence, cloud computing, and big data analytics are significantly enhancing the capabilities of digital health solutions by enabling more precise diagnostics, predictive risk modelling, and personalized treatment </w:t>
      </w:r>
      <w:r>
        <w:rPr>
          <w:rFonts w:ascii="Libre Franklin" w:eastAsia="Libre Franklin" w:hAnsi="Libre Franklin" w:cs="Libre Franklin"/>
          <w:color w:val="002060"/>
          <w:sz w:val="24"/>
          <w:szCs w:val="24"/>
        </w:rPr>
        <w:lastRenderedPageBreak/>
        <w:t>planning in cardiovascul</w:t>
      </w:r>
      <w:r>
        <w:rPr>
          <w:rFonts w:ascii="Libre Franklin" w:eastAsia="Libre Franklin" w:hAnsi="Libre Franklin" w:cs="Libre Franklin"/>
          <w:color w:val="002060"/>
          <w:sz w:val="24"/>
          <w:szCs w:val="24"/>
        </w:rPr>
        <w:t>ar care. Simultaneously, the rapid expansion of telehealth infrastructure has made remote care more accessible and efficient, while supportive government policies and strategic investments from both public and private sectors are further propelling innovat</w:t>
      </w:r>
      <w:r>
        <w:rPr>
          <w:rFonts w:ascii="Libre Franklin" w:eastAsia="Libre Franklin" w:hAnsi="Libre Franklin" w:cs="Libre Franklin"/>
          <w:color w:val="002060"/>
          <w:sz w:val="24"/>
          <w:szCs w:val="24"/>
        </w:rPr>
        <w:t>ion and adoption. Together, these factors are accelerating the integration of digital health into mainstream cardiovascular care, positioning it as a transformative force reshaping how heart diseases are managed and treated across the United States.</w:t>
      </w:r>
    </w:p>
    <w:p w:rsidR="002B718D" w:rsidRDefault="002B718D">
      <w:pPr>
        <w:spacing w:line="360" w:lineRule="auto"/>
        <w:jc w:val="both"/>
        <w:rPr>
          <w:rFonts w:ascii="Libre Franklin" w:eastAsia="Libre Franklin" w:hAnsi="Libre Franklin" w:cs="Libre Franklin"/>
          <w:b/>
          <w:color w:val="002060"/>
          <w:sz w:val="24"/>
          <w:szCs w:val="24"/>
        </w:rPr>
      </w:pPr>
    </w:p>
    <w:p w:rsidR="002B718D" w:rsidRDefault="002B718D">
      <w:pPr>
        <w:spacing w:line="360" w:lineRule="auto"/>
        <w:jc w:val="both"/>
        <w:rPr>
          <w:rFonts w:ascii="Libre Franklin" w:eastAsia="Libre Franklin" w:hAnsi="Libre Franklin" w:cs="Libre Franklin"/>
          <w:b/>
          <w:color w:val="002060"/>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w:t>
      </w:r>
      <w:r>
        <w:rPr>
          <w:rFonts w:ascii="Libre Franklin" w:eastAsia="Libre Franklin" w:hAnsi="Libre Franklin" w:cs="Libre Franklin"/>
          <w:b/>
          <w:color w:val="002060"/>
          <w:sz w:val="24"/>
          <w:szCs w:val="24"/>
        </w:rPr>
        <w:t xml:space="preserve"> Digital Health for Cardiovascular Market Segmentation</w:t>
      </w:r>
    </w:p>
    <w:p w:rsidR="002B718D" w:rsidRDefault="00C83CE7">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digital health for cardiovascular market is segmented based on components and end-users, reflecting the diverse technologies and stakeholders involved in enhancing cardiovascular care through </w:t>
      </w:r>
      <w:r>
        <w:rPr>
          <w:rFonts w:ascii="Libre Franklin" w:eastAsia="Libre Franklin" w:hAnsi="Libre Franklin" w:cs="Libre Franklin"/>
          <w:color w:val="002060"/>
          <w:sz w:val="24"/>
          <w:szCs w:val="24"/>
        </w:rPr>
        <w:t>digital solutions.</w:t>
      </w:r>
    </w:p>
    <w:p w:rsidR="002B718D" w:rsidRDefault="002B718D">
      <w:pPr>
        <w:spacing w:line="360" w:lineRule="auto"/>
        <w:jc w:val="both"/>
        <w:rPr>
          <w:rFonts w:ascii="Libre Franklin" w:eastAsia="Libre Franklin" w:hAnsi="Libre Franklin" w:cs="Libre Franklin"/>
          <w:b/>
          <w:color w:val="002060"/>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Digital Health for Cardiovascular Market, By Component</w:t>
      </w:r>
    </w:p>
    <w:p w:rsidR="002B718D" w:rsidRDefault="00C83CE7">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Software</w:t>
      </w:r>
    </w:p>
    <w:p w:rsidR="002B718D" w:rsidRDefault="00C83CE7">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Hardware</w:t>
      </w:r>
    </w:p>
    <w:p w:rsidR="002B718D" w:rsidRDefault="00C83CE7">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Services</w:t>
      </w:r>
    </w:p>
    <w:p w:rsidR="002B718D" w:rsidRDefault="00C83CE7">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-1402079</wp:posOffset>
            </wp:positionH>
            <wp:positionV relativeFrom="page">
              <wp:posOffset>-685164</wp:posOffset>
            </wp:positionV>
            <wp:extent cx="10220215" cy="14454202"/>
            <wp:effectExtent l="0" t="0" r="0" b="0"/>
            <wp:wrapNone/>
            <wp:docPr id="198672824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The U.S. digital health for cardiovascular market, when segmented by component, reveals a dynamic landscape led by the services segment. This dominance is largely due to the critical role services play in system integration, ongoing maintenance, technical </w:t>
      </w:r>
      <w:r>
        <w:rPr>
          <w:rFonts w:ascii="Libre Franklin" w:eastAsia="Libre Franklin" w:hAnsi="Libre Franklin" w:cs="Libre Franklin"/>
          <w:color w:val="002060"/>
          <w:sz w:val="24"/>
          <w:szCs w:val="24"/>
        </w:rPr>
        <w:t xml:space="preserve">support, and patient engagement solutions, ensuring smooth operation and adoption of digital tools across healthcare settings. Meanwhile, the software segment is experiencing the fastest growth. This surge is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the widespread adoption of EHRs, mobi</w:t>
      </w:r>
      <w:r>
        <w:rPr>
          <w:rFonts w:ascii="Libre Franklin" w:eastAsia="Libre Franklin" w:hAnsi="Libre Franklin" w:cs="Libre Franklin"/>
          <w:color w:val="002060"/>
          <w:sz w:val="24"/>
          <w:szCs w:val="24"/>
        </w:rPr>
        <w:t xml:space="preserve">le health applications, </w:t>
      </w:r>
      <w:proofErr w:type="spellStart"/>
      <w:r>
        <w:rPr>
          <w:rFonts w:ascii="Libre Franklin" w:eastAsia="Libre Franklin" w:hAnsi="Libre Franklin" w:cs="Libre Franklin"/>
          <w:color w:val="002060"/>
          <w:sz w:val="24"/>
          <w:szCs w:val="24"/>
        </w:rPr>
        <w:t>telecardiology</w:t>
      </w:r>
      <w:proofErr w:type="spellEnd"/>
      <w:r>
        <w:rPr>
          <w:rFonts w:ascii="Libre Franklin" w:eastAsia="Libre Franklin" w:hAnsi="Libre Franklin" w:cs="Libre Franklin"/>
          <w:color w:val="002060"/>
          <w:sz w:val="24"/>
          <w:szCs w:val="24"/>
        </w:rPr>
        <w:t xml:space="preserve"> platforms, and AI-powered analytics that are streamlining care pathways and enabling personalized treatment strategies. The hardware segment, comprising wearable devices, implantable monitors, and remote patient </w:t>
      </w:r>
      <w:r>
        <w:rPr>
          <w:rFonts w:ascii="Libre Franklin" w:eastAsia="Libre Franklin" w:hAnsi="Libre Franklin" w:cs="Libre Franklin"/>
          <w:color w:val="002060"/>
          <w:sz w:val="24"/>
          <w:szCs w:val="24"/>
        </w:rPr>
        <w:lastRenderedPageBreak/>
        <w:t>monit</w:t>
      </w:r>
      <w:r>
        <w:rPr>
          <w:rFonts w:ascii="Libre Franklin" w:eastAsia="Libre Franklin" w:hAnsi="Libre Franklin" w:cs="Libre Franklin"/>
          <w:color w:val="002060"/>
          <w:sz w:val="24"/>
          <w:szCs w:val="24"/>
        </w:rPr>
        <w:t>oring equipment, continues to be essential for real-time cardiovascular data collection and disease management.</w:t>
      </w:r>
    </w:p>
    <w:p w:rsidR="002B718D" w:rsidRDefault="002B718D">
      <w:pPr>
        <w:spacing w:line="360" w:lineRule="auto"/>
        <w:jc w:val="both"/>
        <w:rPr>
          <w:rFonts w:ascii="Libre Franklin" w:eastAsia="Libre Franklin" w:hAnsi="Libre Franklin" w:cs="Libre Franklin"/>
          <w:b/>
          <w:color w:val="002060"/>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Digital Health for Cardiovascular Market, By End-User</w:t>
      </w:r>
    </w:p>
    <w:p w:rsidR="002B718D" w:rsidRDefault="00C83CE7">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Patients</w:t>
      </w:r>
    </w:p>
    <w:p w:rsidR="002B718D" w:rsidRDefault="00C83CE7">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Providers</w:t>
      </w:r>
    </w:p>
    <w:p w:rsidR="002B718D" w:rsidRDefault="00C83CE7">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Payers</w:t>
      </w:r>
    </w:p>
    <w:p w:rsidR="002B718D" w:rsidRDefault="00C83CE7">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Others</w:t>
      </w:r>
    </w:p>
    <w:p w:rsidR="002B718D" w:rsidRDefault="00C83CE7">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digital health for cardiovascular market, </w:t>
      </w:r>
      <w:r>
        <w:rPr>
          <w:rFonts w:ascii="Libre Franklin" w:eastAsia="Libre Franklin" w:hAnsi="Libre Franklin" w:cs="Libre Franklin"/>
          <w:color w:val="002060"/>
          <w:sz w:val="24"/>
          <w:szCs w:val="24"/>
        </w:rPr>
        <w:t>segmented by end-user, reflects a diverse and rapidly expanding adoption across key healthcare stakeholders. Patients are at the forefront of this transformation, increasingly embracing digital tools such as wearable devices, mobile health applications, an</w:t>
      </w:r>
      <w:r>
        <w:rPr>
          <w:rFonts w:ascii="Libre Franklin" w:eastAsia="Libre Franklin" w:hAnsi="Libre Franklin" w:cs="Libre Franklin"/>
          <w:color w:val="002060"/>
          <w:sz w:val="24"/>
          <w:szCs w:val="24"/>
        </w:rPr>
        <w:t xml:space="preserve">d remote monitoring technologies to take a more active role in managing and preventing cardiovascular conditions. Healthcare providers are also key adopters, utilizing technologies like </w:t>
      </w:r>
      <w:proofErr w:type="spellStart"/>
      <w:r>
        <w:rPr>
          <w:rFonts w:ascii="Libre Franklin" w:eastAsia="Libre Franklin" w:hAnsi="Libre Franklin" w:cs="Libre Franklin"/>
          <w:color w:val="002060"/>
          <w:sz w:val="24"/>
          <w:szCs w:val="24"/>
        </w:rPr>
        <w:t>telecardiology</w:t>
      </w:r>
      <w:proofErr w:type="spellEnd"/>
      <w:r>
        <w:rPr>
          <w:rFonts w:ascii="Libre Franklin" w:eastAsia="Libre Franklin" w:hAnsi="Libre Franklin" w:cs="Libre Franklin"/>
          <w:color w:val="002060"/>
          <w:sz w:val="24"/>
          <w:szCs w:val="24"/>
        </w:rPr>
        <w:t xml:space="preserve"> platforms, EHRs, and AI-driven diagnostic tools to impr</w:t>
      </w:r>
      <w:r>
        <w:rPr>
          <w:rFonts w:ascii="Libre Franklin" w:eastAsia="Libre Franklin" w:hAnsi="Libre Franklin" w:cs="Libre Franklin"/>
          <w:color w:val="002060"/>
          <w:sz w:val="24"/>
          <w:szCs w:val="24"/>
        </w:rPr>
        <w:t>ove clinical workflows, enhance diagnostic accuracy, and deliver more personalized care. Payers, including insurance companies and healthcare administrators, are leveraging digital health to optimize cost-efficiency, facilitate preventive care, and improve</w:t>
      </w:r>
      <w:r>
        <w:rPr>
          <w:rFonts w:ascii="Libre Franklin" w:eastAsia="Libre Franklin" w:hAnsi="Libre Franklin" w:cs="Libre Franklin"/>
          <w:color w:val="002060"/>
          <w:sz w:val="24"/>
          <w:szCs w:val="24"/>
        </w:rPr>
        <w:t xml:space="preserve"> health outcomes at the population level. Meanwhile, government agencies, research institutions, and public health organizations play a crucial supporting role by driving policy development, funding initiatives, and advancing research in digital cardiovasc</w:t>
      </w:r>
      <w:r>
        <w:rPr>
          <w:rFonts w:ascii="Libre Franklin" w:eastAsia="Libre Franklin" w:hAnsi="Libre Franklin" w:cs="Libre Franklin"/>
          <w:color w:val="002060"/>
          <w:sz w:val="24"/>
          <w:szCs w:val="24"/>
        </w:rPr>
        <w:t>ular health.</w:t>
      </w:r>
    </w:p>
    <w:p w:rsidR="002B718D" w:rsidRDefault="002B718D">
      <w:pPr>
        <w:spacing w:line="360" w:lineRule="auto"/>
        <w:jc w:val="both"/>
        <w:rPr>
          <w:rFonts w:ascii="Libre Franklin" w:eastAsia="Libre Franklin" w:hAnsi="Libre Franklin" w:cs="Libre Franklin"/>
          <w:color w:val="002060"/>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-670559</wp:posOffset>
            </wp:positionH>
            <wp:positionV relativeFrom="page">
              <wp:posOffset>-1330959</wp:posOffset>
            </wp:positionV>
            <wp:extent cx="10220215" cy="14454202"/>
            <wp:effectExtent l="0" t="0" r="0" b="0"/>
            <wp:wrapNone/>
            <wp:docPr id="198672824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Key Players </w:t>
      </w:r>
    </w:p>
    <w:p w:rsidR="002B718D" w:rsidRDefault="00C83CE7">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digital health for cardiovascular market</w:t>
      </w:r>
      <w:r>
        <w:rPr>
          <w:rFonts w:ascii="Libre Franklin" w:eastAsia="Libre Franklin" w:hAnsi="Libre Franklin" w:cs="Libre Franklin"/>
          <w:color w:val="1F3864"/>
          <w:sz w:val="24"/>
          <w:szCs w:val="24"/>
        </w:rPr>
        <w:t xml:space="preserve">" study report will provide valuable insight emphasizing the U.S. market. The major players in the market Medtronic, Johnson &amp; Johnson </w:t>
      </w:r>
      <w:proofErr w:type="spellStart"/>
      <w:r>
        <w:rPr>
          <w:rFonts w:ascii="Libre Franklin" w:eastAsia="Libre Franklin" w:hAnsi="Libre Franklin" w:cs="Libre Franklin"/>
          <w:color w:val="1F3864"/>
          <w:sz w:val="24"/>
          <w:szCs w:val="24"/>
        </w:rPr>
        <w:t>MedTech</w:t>
      </w:r>
      <w:proofErr w:type="spellEnd"/>
      <w:r>
        <w:rPr>
          <w:rFonts w:ascii="Libre Franklin" w:eastAsia="Libre Franklin" w:hAnsi="Libre Franklin" w:cs="Libre Franklin"/>
          <w:color w:val="1F3864"/>
          <w:sz w:val="24"/>
          <w:szCs w:val="24"/>
        </w:rPr>
        <w:t xml:space="preserve">, Philips Healthcare, </w:t>
      </w:r>
      <w:proofErr w:type="spellStart"/>
      <w:r>
        <w:rPr>
          <w:rFonts w:ascii="Libre Franklin" w:eastAsia="Libre Franklin" w:hAnsi="Libre Franklin" w:cs="Libre Franklin"/>
          <w:color w:val="1F3864"/>
          <w:sz w:val="24"/>
          <w:szCs w:val="24"/>
        </w:rPr>
        <w:t>AliveCor</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Apple,Inc</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BioTelemetry</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Masimo</w:t>
      </w:r>
      <w:proofErr w:type="spellEnd"/>
      <w:r>
        <w:rPr>
          <w:rFonts w:ascii="Libre Franklin" w:eastAsia="Libre Franklin" w:hAnsi="Libre Franklin" w:cs="Libre Franklin"/>
          <w:color w:val="1F3864"/>
          <w:sz w:val="24"/>
          <w:szCs w:val="24"/>
        </w:rPr>
        <w:t xml:space="preserve">, Boston Scientific, Siemens </w:t>
      </w:r>
      <w:proofErr w:type="spellStart"/>
      <w:r>
        <w:rPr>
          <w:rFonts w:ascii="Libre Franklin" w:eastAsia="Libre Franklin" w:hAnsi="Libre Franklin" w:cs="Libre Franklin"/>
          <w:color w:val="1F3864"/>
          <w:sz w:val="24"/>
          <w:szCs w:val="24"/>
        </w:rPr>
        <w:t>Healthineers</w:t>
      </w:r>
      <w:proofErr w:type="spellEnd"/>
      <w:r>
        <w:rPr>
          <w:rFonts w:ascii="Libre Franklin" w:eastAsia="Libre Franklin" w:hAnsi="Libre Franklin" w:cs="Libre Franklin"/>
          <w:color w:val="1F3864"/>
          <w:sz w:val="24"/>
          <w:szCs w:val="24"/>
        </w:rPr>
        <w:t>, GE Heal</w:t>
      </w:r>
      <w:r>
        <w:rPr>
          <w:rFonts w:ascii="Libre Franklin" w:eastAsia="Libre Franklin" w:hAnsi="Libre Franklin" w:cs="Libre Franklin"/>
          <w:color w:val="1F3864"/>
          <w:sz w:val="24"/>
          <w:szCs w:val="24"/>
        </w:rPr>
        <w:t xml:space="preserve">thCare, </w:t>
      </w:r>
      <w:r>
        <w:rPr>
          <w:rFonts w:ascii="Libre Franklin" w:eastAsia="Libre Franklin" w:hAnsi="Libre Franklin" w:cs="Libre Franklin"/>
          <w:color w:val="1F3864"/>
          <w:sz w:val="24"/>
          <w:szCs w:val="24"/>
        </w:rPr>
        <w:lastRenderedPageBreak/>
        <w:t xml:space="preserve">Abbott, </w:t>
      </w:r>
      <w:proofErr w:type="spellStart"/>
      <w:r>
        <w:rPr>
          <w:rFonts w:ascii="Libre Franklin" w:eastAsia="Libre Franklin" w:hAnsi="Libre Franklin" w:cs="Libre Franklin"/>
          <w:color w:val="1F3864"/>
          <w:sz w:val="24"/>
          <w:szCs w:val="24"/>
        </w:rPr>
        <w:t>iRythm</w:t>
      </w:r>
      <w:proofErr w:type="spellEnd"/>
      <w:r>
        <w:rPr>
          <w:rFonts w:ascii="Libre Franklin" w:eastAsia="Libre Franklin" w:hAnsi="Libre Franklin" w:cs="Libre Franklin"/>
          <w:color w:val="1F3864"/>
          <w:sz w:val="24"/>
          <w:szCs w:val="24"/>
        </w:rPr>
        <w:t xml:space="preserve"> Technologies, </w:t>
      </w:r>
      <w:proofErr w:type="spellStart"/>
      <w:r>
        <w:rPr>
          <w:rFonts w:ascii="Libre Franklin" w:eastAsia="Libre Franklin" w:hAnsi="Libre Franklin" w:cs="Libre Franklin"/>
          <w:color w:val="1F3864"/>
          <w:sz w:val="24"/>
          <w:szCs w:val="24"/>
        </w:rPr>
        <w:t>CardiAI</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Inc</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Virta</w:t>
      </w:r>
      <w:proofErr w:type="spellEnd"/>
      <w:r>
        <w:rPr>
          <w:rFonts w:ascii="Libre Franklin" w:eastAsia="Libre Franklin" w:hAnsi="Libre Franklin" w:cs="Libre Franklin"/>
          <w:color w:val="1F3864"/>
          <w:sz w:val="24"/>
          <w:szCs w:val="24"/>
        </w:rPr>
        <w:t xml:space="preserve"> Health, </w:t>
      </w:r>
      <w:proofErr w:type="spellStart"/>
      <w:r>
        <w:rPr>
          <w:rFonts w:ascii="Libre Franklin" w:eastAsia="Libre Franklin" w:hAnsi="Libre Franklin" w:cs="Libre Franklin"/>
          <w:color w:val="1F3864"/>
          <w:sz w:val="24"/>
          <w:szCs w:val="24"/>
        </w:rPr>
        <w:t>Omada</w:t>
      </w:r>
      <w:proofErr w:type="spellEnd"/>
      <w:r>
        <w:rPr>
          <w:rFonts w:ascii="Libre Franklin" w:eastAsia="Libre Franklin" w:hAnsi="Libre Franklin" w:cs="Libre Franklin"/>
          <w:color w:val="1F3864"/>
          <w:sz w:val="24"/>
          <w:szCs w:val="24"/>
        </w:rPr>
        <w:t xml:space="preserve"> Health, </w:t>
      </w:r>
      <w:proofErr w:type="spellStart"/>
      <w:r>
        <w:rPr>
          <w:rFonts w:ascii="Libre Franklin" w:eastAsia="Libre Franklin" w:hAnsi="Libre Franklin" w:cs="Libre Franklin"/>
          <w:color w:val="1F3864"/>
          <w:sz w:val="24"/>
          <w:szCs w:val="24"/>
        </w:rPr>
        <w:t>CorVista</w:t>
      </w:r>
      <w:proofErr w:type="spellEnd"/>
      <w:r>
        <w:rPr>
          <w:rFonts w:ascii="Libre Franklin" w:eastAsia="Libre Franklin" w:hAnsi="Libre Franklin" w:cs="Libre Franklin"/>
          <w:color w:val="1F3864"/>
          <w:sz w:val="24"/>
          <w:szCs w:val="24"/>
        </w:rPr>
        <w:t xml:space="preserve"> Health,</w:t>
      </w:r>
      <w:r>
        <w:rPr>
          <w:rFonts w:ascii="Libre Franklin" w:eastAsia="Libre Franklin" w:hAnsi="Libre Franklin" w:cs="Libre Franklin"/>
        </w:rPr>
        <w:t xml:space="preserve"> </w:t>
      </w: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Xenter</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SafeBeat</w:t>
      </w:r>
      <w:proofErr w:type="spellEnd"/>
      <w:r>
        <w:rPr>
          <w:rFonts w:ascii="Libre Franklin" w:eastAsia="Libre Franklin" w:hAnsi="Libre Franklin" w:cs="Libre Franklin"/>
          <w:color w:val="1F3864"/>
          <w:sz w:val="24"/>
          <w:szCs w:val="24"/>
        </w:rPr>
        <w:t xml:space="preserve"> Rx, RSIP Vision among others. Our market analysis also entails a section solely dedicated to such major players wherein our analysts provide an insight into the financial statements of all the major players, along with product benchmarkin</w:t>
      </w:r>
      <w:r>
        <w:rPr>
          <w:rFonts w:ascii="Libre Franklin" w:eastAsia="Libre Franklin" w:hAnsi="Libre Franklin" w:cs="Libre Franklin"/>
          <w:color w:val="1F3864"/>
          <w:sz w:val="24"/>
          <w:szCs w:val="24"/>
        </w:rPr>
        <w:t>g and SWOT analysis.</w:t>
      </w:r>
      <w:r>
        <w:rPr>
          <w:rFonts w:ascii="Libre Franklin" w:eastAsia="Libre Franklin" w:hAnsi="Libre Franklin" w:cs="Libre Franklin"/>
        </w:rPr>
        <w:t xml:space="preserve"> </w:t>
      </w:r>
    </w:p>
    <w:p w:rsidR="002B718D" w:rsidRDefault="002B718D">
      <w:pPr>
        <w:spacing w:line="360" w:lineRule="auto"/>
        <w:jc w:val="both"/>
        <w:rPr>
          <w:rFonts w:ascii="Libre Franklin" w:eastAsia="Libre Franklin" w:hAnsi="Libre Franklin" w:cs="Libre Franklin"/>
          <w:b/>
          <w:color w:val="1F3864"/>
          <w:sz w:val="24"/>
          <w:szCs w:val="24"/>
        </w:rPr>
      </w:pPr>
    </w:p>
    <w:p w:rsidR="002B718D" w:rsidRDefault="00C83CE7">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2B718D" w:rsidRDefault="00C83CE7">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In 2024, Medtronic partnered with Cardiac Design Labs to launch Padma Rhythms, a new Electronic Loop Recorder patch.</w:t>
      </w:r>
    </w:p>
    <w:p w:rsidR="002B718D" w:rsidRDefault="00C83CE7">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Eko</w:t>
      </w:r>
      <w:proofErr w:type="spellEnd"/>
      <w:r>
        <w:rPr>
          <w:rFonts w:ascii="Libre Franklin" w:eastAsia="Libre Franklin" w:hAnsi="Libre Franklin" w:cs="Libre Franklin"/>
          <w:color w:val="1F3864"/>
          <w:sz w:val="24"/>
          <w:szCs w:val="24"/>
        </w:rPr>
        <w:t xml:space="preserve"> Health received FDA clearance for its AI algorithm that detects low ejection fraction,</w:t>
      </w:r>
      <w:r>
        <w:rPr>
          <w:rFonts w:ascii="Libre Franklin" w:eastAsia="Libre Franklin" w:hAnsi="Libre Franklin" w:cs="Libre Franklin"/>
          <w:color w:val="1F3864"/>
          <w:sz w:val="24"/>
          <w:szCs w:val="24"/>
        </w:rPr>
        <w:t xml:space="preserve"> developed with the Mayo Clinic. This technology helps identify heart failure early during routine physical exams.</w:t>
      </w:r>
    </w:p>
    <w:p w:rsidR="002B718D" w:rsidRDefault="00C83CE7">
      <w:pPr>
        <w:numPr>
          <w:ilvl w:val="0"/>
          <w:numId w:val="3"/>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cloud-based DRP platform, powered by </w:t>
      </w:r>
      <w:proofErr w:type="spellStart"/>
      <w:r>
        <w:rPr>
          <w:rFonts w:ascii="Libre Franklin" w:eastAsia="Libre Franklin" w:hAnsi="Libre Franklin" w:cs="Libre Franklin"/>
          <w:color w:val="1F3864"/>
          <w:sz w:val="24"/>
          <w:szCs w:val="24"/>
        </w:rPr>
        <w:t>DeepRhythmAI</w:t>
      </w:r>
      <w:proofErr w:type="spellEnd"/>
      <w:r>
        <w:rPr>
          <w:rFonts w:ascii="Libre Franklin" w:eastAsia="Libre Franklin" w:hAnsi="Libre Franklin" w:cs="Libre Franklin"/>
          <w:color w:val="1F3864"/>
          <w:sz w:val="24"/>
          <w:szCs w:val="24"/>
        </w:rPr>
        <w:t xml:space="preserve"> (DRAI) algorithms, developed by </w:t>
      </w:r>
      <w:proofErr w:type="spellStart"/>
      <w:r>
        <w:rPr>
          <w:rFonts w:ascii="Libre Franklin" w:eastAsia="Libre Franklin" w:hAnsi="Libre Franklin" w:cs="Libre Franklin"/>
          <w:color w:val="1F3864"/>
          <w:sz w:val="24"/>
          <w:szCs w:val="24"/>
        </w:rPr>
        <w:t>Medicalgorithmics</w:t>
      </w:r>
      <w:proofErr w:type="spellEnd"/>
      <w:r>
        <w:rPr>
          <w:rFonts w:ascii="Libre Franklin" w:eastAsia="Libre Franklin" w:hAnsi="Libre Franklin" w:cs="Libre Franklin"/>
          <w:color w:val="1F3864"/>
          <w:sz w:val="24"/>
          <w:szCs w:val="24"/>
        </w:rPr>
        <w:t>, received FDA approval. This syst</w:t>
      </w:r>
      <w:r>
        <w:rPr>
          <w:rFonts w:ascii="Libre Franklin" w:eastAsia="Libre Franklin" w:hAnsi="Libre Franklin" w:cs="Libre Franklin"/>
          <w:color w:val="1F3864"/>
          <w:sz w:val="24"/>
          <w:szCs w:val="24"/>
        </w:rPr>
        <w:t xml:space="preserve">em provides efficient and secure arrhythmia diagnostics by </w:t>
      </w:r>
      <w:proofErr w:type="spellStart"/>
      <w:r>
        <w:rPr>
          <w:rFonts w:ascii="Libre Franklin" w:eastAsia="Libre Franklin" w:hAnsi="Libre Franklin" w:cs="Libre Franklin"/>
          <w:color w:val="1F3864"/>
          <w:sz w:val="24"/>
          <w:szCs w:val="24"/>
        </w:rPr>
        <w:t>analyzing</w:t>
      </w:r>
      <w:proofErr w:type="spellEnd"/>
      <w:r>
        <w:rPr>
          <w:rFonts w:ascii="Libre Franklin" w:eastAsia="Libre Franklin" w:hAnsi="Libre Franklin" w:cs="Libre Franklin"/>
          <w:color w:val="1F3864"/>
          <w:sz w:val="24"/>
          <w:szCs w:val="24"/>
        </w:rPr>
        <w:t xml:space="preserve"> data from multiple EKG recorders.</w:t>
      </w:r>
    </w:p>
    <w:p w:rsidR="002B718D" w:rsidRDefault="002B718D">
      <w:pPr>
        <w:spacing w:line="360" w:lineRule="auto"/>
        <w:jc w:val="both"/>
        <w:rPr>
          <w:rFonts w:ascii="Libre Franklin" w:eastAsia="Libre Franklin" w:hAnsi="Libre Franklin" w:cs="Libre Franklin"/>
          <w:b/>
          <w:color w:val="1F3864"/>
          <w:sz w:val="24"/>
          <w:szCs w:val="24"/>
        </w:rPr>
      </w:pP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2B718D" w:rsidRDefault="00C83CE7">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digital health f</w:t>
      </w:r>
      <w:r>
        <w:rPr>
          <w:rFonts w:ascii="Libre Franklin" w:eastAsia="Libre Franklin" w:hAnsi="Libre Franklin" w:cs="Libre Franklin"/>
          <w:color w:val="002060"/>
          <w:sz w:val="24"/>
          <w:szCs w:val="24"/>
        </w:rPr>
        <w:t>or cardiovascular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2B718D" w:rsidRDefault="002B718D">
      <w:pPr>
        <w:spacing w:before="240"/>
        <w:jc w:val="both"/>
        <w:rPr>
          <w:rFonts w:ascii="Libre Franklin" w:eastAsia="Libre Franklin" w:hAnsi="Libre Franklin" w:cs="Libre Franklin"/>
          <w:b/>
          <w:color w:val="1F3864"/>
          <w:sz w:val="24"/>
          <w:szCs w:val="24"/>
        </w:rPr>
      </w:pPr>
    </w:p>
    <w:p w:rsidR="002B718D" w:rsidRDefault="00C83CE7">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2B718D" w:rsidRDefault="00C83CE7">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w:t>
      </w:r>
      <w:r>
        <w:rPr>
          <w:rFonts w:ascii="Libre Franklin" w:eastAsia="Libre Franklin" w:hAnsi="Libre Franklin" w:cs="Libre Franklin"/>
          <w:color w:val="1F3864"/>
          <w:sz w:val="24"/>
          <w:szCs w:val="24"/>
        </w:rPr>
        <w:t xml:space="preserve">n be </w:t>
      </w: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-228599</wp:posOffset>
            </wp:positionH>
            <wp:positionV relativeFrom="page">
              <wp:posOffset>-1018539</wp:posOffset>
            </wp:positionV>
            <wp:extent cx="10220215" cy="14454202"/>
            <wp:effectExtent l="0" t="0" r="0" b="0"/>
            <wp:wrapNone/>
            <wp:docPr id="198672824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used to assess the competitive landscape </w:t>
      </w:r>
      <w:r>
        <w:rPr>
          <w:rFonts w:ascii="Libre Franklin" w:eastAsia="Libre Franklin" w:hAnsi="Libre Franklin" w:cs="Libre Franklin"/>
          <w:color w:val="002060"/>
          <w:sz w:val="24"/>
          <w:szCs w:val="24"/>
        </w:rPr>
        <w:t xml:space="preserve">U.S. </w:t>
      </w:r>
      <w:r>
        <w:rPr>
          <w:rFonts w:ascii="Libre Franklin" w:eastAsia="Libre Franklin" w:hAnsi="Libre Franklin" w:cs="Libre Franklin"/>
          <w:color w:val="002060"/>
          <w:sz w:val="24"/>
          <w:szCs w:val="24"/>
        </w:rPr>
        <w:lastRenderedPageBreak/>
        <w:t>digital health for cardiovascular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2B718D">
      <w:pPr>
        <w:spacing w:before="240" w:line="360" w:lineRule="auto"/>
        <w:jc w:val="both"/>
        <w:rPr>
          <w:rFonts w:ascii="Times New Roman" w:eastAsia="Times New Roman" w:hAnsi="Times New Roman" w:cs="Times New Roman"/>
          <w:color w:val="1F3864"/>
          <w:sz w:val="40"/>
          <w:szCs w:val="40"/>
        </w:rPr>
      </w:pPr>
    </w:p>
    <w:p w:rsidR="002B718D" w:rsidRDefault="00C83CE7">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lastRenderedPageBreak/>
        <w:drawing>
          <wp:anchor distT="0" distB="0" distL="0" distR="0" simplePos="0" relativeHeight="251663360" behindDoc="1" locked="0" layoutInCell="1" hidden="0" allowOverlap="1">
            <wp:simplePos x="0" y="0"/>
            <wp:positionH relativeFrom="page">
              <wp:posOffset>-1493519</wp:posOffset>
            </wp:positionH>
            <wp:positionV relativeFrom="page">
              <wp:posOffset>-986789</wp:posOffset>
            </wp:positionV>
            <wp:extent cx="10220215" cy="14454202"/>
            <wp:effectExtent l="0" t="0" r="0" b="0"/>
            <wp:wrapNone/>
            <wp:docPr id="198672824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2B718D" w:rsidRDefault="00C83CE7">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INTRODUCTION OF</w:t>
      </w:r>
      <w:r>
        <w:t xml:space="preserve"> </w:t>
      </w:r>
      <w:r>
        <w:rPr>
          <w:rFonts w:ascii="Libre Franklin" w:eastAsia="Libre Franklin" w:hAnsi="Libre Franklin" w:cs="Libre Franklin"/>
          <w:b/>
          <w:color w:val="1F3864"/>
          <w:sz w:val="24"/>
          <w:szCs w:val="24"/>
        </w:rPr>
        <w:t>U.S. DIGITAL HEALTH FOR CARDIOVASCULAR MARKET</w:t>
      </w:r>
    </w:p>
    <w:p w:rsidR="002B718D" w:rsidRDefault="00C83CE7">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2B718D" w:rsidRDefault="00C83CE7">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2B718D" w:rsidRDefault="00C83CE7">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2B718D" w:rsidRDefault="00C83CE7">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2B718D" w:rsidRDefault="00C83CE7">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2B718D" w:rsidRDefault="00C83CE7">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2B718D" w:rsidRDefault="00C83CE7">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2B718D" w:rsidRDefault="00C83CE7">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2B718D" w:rsidRDefault="00C83CE7">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2B718D" w:rsidRDefault="00C83CE7">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DIGITAL HEALTH FOR CARDIOVASCULAR MARKET</w:t>
      </w:r>
      <w:r>
        <w:rPr>
          <w:rFonts w:ascii="Libre Franklin" w:eastAsia="Libre Franklin" w:hAnsi="Libre Franklin" w:cs="Libre Franklin"/>
          <w:b/>
          <w:color w:val="002060"/>
          <w:sz w:val="24"/>
          <w:szCs w:val="24"/>
        </w:rPr>
        <w:t xml:space="preserve"> OUTLOOK</w:t>
      </w:r>
    </w:p>
    <w:p w:rsidR="002B718D" w:rsidRDefault="002B718D">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2B718D" w:rsidRDefault="00C83CE7">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2B718D" w:rsidRDefault="00C83CE7">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2B718D" w:rsidRDefault="00C83CE7">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2B718D" w:rsidRDefault="00C83CE7">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2B718D" w:rsidRDefault="00C83CE7">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2B718D" w:rsidRDefault="00C83CE7">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2B718D" w:rsidRDefault="00C83CE7">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2B718D" w:rsidRDefault="00C83CE7">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2B718D" w:rsidRDefault="002B718D">
      <w:pPr>
        <w:spacing w:line="360" w:lineRule="auto"/>
        <w:rPr>
          <w:rFonts w:ascii="Libre Franklin" w:eastAsia="Libre Franklin" w:hAnsi="Libre Franklin" w:cs="Libre Franklin"/>
          <w:b/>
          <w:color w:val="002060"/>
          <w:sz w:val="24"/>
          <w:szCs w:val="24"/>
        </w:rPr>
      </w:pPr>
    </w:p>
    <w:p w:rsidR="002B718D" w:rsidRDefault="00C83CE7">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lastRenderedPageBreak/>
        <w:t xml:space="preserve">5 </w:t>
      </w:r>
      <w:r>
        <w:rPr>
          <w:rFonts w:ascii="Libre Franklin" w:eastAsia="Libre Franklin" w:hAnsi="Libre Franklin" w:cs="Libre Franklin"/>
          <w:b/>
          <w:color w:val="1F3864"/>
          <w:sz w:val="24"/>
          <w:szCs w:val="24"/>
        </w:rPr>
        <w:t>U.S. DIGITAL HEALTH FOR CARDIOVASCULAR MARKET, BY COMPONENT</w:t>
      </w:r>
    </w:p>
    <w:p w:rsidR="002B718D" w:rsidRDefault="00C83CE7">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2B718D" w:rsidRDefault="00C83CE7">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posOffset>-1036318</wp:posOffset>
            </wp:positionH>
            <wp:positionV relativeFrom="page">
              <wp:posOffset>-1295399</wp:posOffset>
            </wp:positionV>
            <wp:extent cx="10220215" cy="14454202"/>
            <wp:effectExtent l="0" t="0" r="0" b="0"/>
            <wp:wrapNone/>
            <wp:docPr id="198672824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Software</w:t>
      </w:r>
    </w:p>
    <w:p w:rsidR="002B718D" w:rsidRDefault="00C83CE7">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Hardware</w:t>
      </w:r>
    </w:p>
    <w:p w:rsidR="002B718D" w:rsidRDefault="00C83CE7">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Services</w:t>
      </w:r>
    </w:p>
    <w:p w:rsidR="002B718D" w:rsidRDefault="00C83CE7">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DIGITAL HEALTH FOR CARDIOVASCULAR MARKET</w:t>
      </w:r>
      <w:r>
        <w:rPr>
          <w:rFonts w:ascii="Libre Franklin" w:eastAsia="Libre Franklin" w:hAnsi="Libre Franklin" w:cs="Libre Franklin"/>
          <w:b/>
          <w:color w:val="002060"/>
          <w:sz w:val="24"/>
          <w:szCs w:val="24"/>
        </w:rPr>
        <w:t>, BY END-USER</w:t>
      </w:r>
    </w:p>
    <w:p w:rsidR="002B718D" w:rsidRDefault="00C83CE7">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2B718D" w:rsidRDefault="00C83CE7">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Patients</w:t>
      </w:r>
    </w:p>
    <w:p w:rsidR="002B718D" w:rsidRDefault="00C83CE7">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Providers</w:t>
      </w:r>
    </w:p>
    <w:p w:rsidR="002B718D" w:rsidRDefault="00C83CE7">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Payers</w:t>
      </w:r>
    </w:p>
    <w:p w:rsidR="002B718D" w:rsidRDefault="00C83CE7">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6.5 Others</w:t>
      </w:r>
    </w:p>
    <w:p w:rsidR="002B718D" w:rsidRDefault="00C83CE7">
      <w:pPr>
        <w:numPr>
          <w:ilvl w:val="0"/>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DIGITAL HEALTH FOR CARDIOVASCULAR MARKET</w:t>
      </w:r>
      <w:r>
        <w:rPr>
          <w:rFonts w:ascii="Libre Franklin" w:eastAsia="Libre Franklin" w:hAnsi="Libre Franklin" w:cs="Libre Franklin"/>
          <w:b/>
          <w:color w:val="002060"/>
          <w:sz w:val="24"/>
          <w:szCs w:val="24"/>
        </w:rPr>
        <w:t xml:space="preserve"> COMPETITIVE LANDSCAPE</w:t>
      </w:r>
    </w:p>
    <w:p w:rsidR="002B718D" w:rsidRDefault="00C83CE7">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2B718D" w:rsidRDefault="00C83CE7">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2B718D" w:rsidRDefault="00C83CE7">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2B718D" w:rsidRDefault="00C83CE7">
      <w:pPr>
        <w:numPr>
          <w:ilvl w:val="0"/>
          <w:numId w:val="2"/>
        </w:numPr>
        <w:pBdr>
          <w:top w:val="nil"/>
          <w:left w:val="nil"/>
          <w:bottom w:val="nil"/>
          <w:right w:val="nil"/>
          <w:between w:val="nil"/>
        </w:pBdr>
        <w:spacing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002060"/>
          <w:sz w:val="24"/>
          <w:szCs w:val="24"/>
        </w:rPr>
        <w:t>COMPANY PROFILES</w:t>
      </w:r>
    </w:p>
    <w:p w:rsidR="002B718D" w:rsidRDefault="00C83CE7">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8.1 </w:t>
      </w:r>
      <w:r>
        <w:rPr>
          <w:rFonts w:ascii="Libre Franklin" w:eastAsia="Libre Franklin" w:hAnsi="Libre Franklin" w:cs="Libre Franklin"/>
          <w:b/>
          <w:color w:val="1F3864"/>
          <w:sz w:val="24"/>
          <w:szCs w:val="24"/>
        </w:rPr>
        <w:t>Medtronic</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w:t>
      </w:r>
      <w:r>
        <w:rPr>
          <w:rFonts w:ascii="Libre Franklin" w:eastAsia="Libre Franklin" w:hAnsi="Libre Franklin" w:cs="Libre Franklin"/>
          <w:color w:val="002060"/>
          <w:sz w:val="24"/>
          <w:szCs w:val="24"/>
        </w:rPr>
        <w:t>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 xml:space="preserve">Johnson &amp; Johnson </w:t>
      </w:r>
      <w:proofErr w:type="spellStart"/>
      <w:r>
        <w:rPr>
          <w:rFonts w:ascii="Libre Franklin" w:eastAsia="Libre Franklin" w:hAnsi="Libre Franklin" w:cs="Libre Franklin"/>
          <w:b/>
          <w:color w:val="1F3864"/>
          <w:sz w:val="24"/>
          <w:szCs w:val="24"/>
        </w:rPr>
        <w:t>MedTech</w:t>
      </w:r>
      <w:proofErr w:type="spellEnd"/>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page">
              <wp:posOffset>-1523999</wp:posOffset>
            </wp:positionH>
            <wp:positionV relativeFrom="page">
              <wp:posOffset>-1341119</wp:posOffset>
            </wp:positionV>
            <wp:extent cx="10220215" cy="14454202"/>
            <wp:effectExtent l="0" t="0" r="0" b="0"/>
            <wp:wrapNone/>
            <wp:docPr id="198672823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Philips Healthcare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AliveCor</w:t>
      </w:r>
      <w:proofErr w:type="spellEnd"/>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Apple</w:t>
      </w:r>
      <w:proofErr w:type="gramStart"/>
      <w:r>
        <w:rPr>
          <w:rFonts w:ascii="Libre Franklin" w:eastAsia="Libre Franklin" w:hAnsi="Libre Franklin" w:cs="Libre Franklin"/>
          <w:b/>
          <w:color w:val="1F3864"/>
          <w:sz w:val="24"/>
          <w:szCs w:val="24"/>
        </w:rPr>
        <w:t>,Inc</w:t>
      </w:r>
      <w:proofErr w:type="spellEnd"/>
      <w:proofErr w:type="gramEnd"/>
      <w:r>
        <w:rPr>
          <w:rFonts w:ascii="Libre Franklin" w:eastAsia="Libre Franklin" w:hAnsi="Libre Franklin" w:cs="Libre Franklin"/>
          <w:b/>
          <w:color w:val="1F3864"/>
          <w:sz w:val="24"/>
          <w:szCs w:val="24"/>
        </w:rPr>
        <w:t>.</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lastRenderedPageBreak/>
        <w:t xml:space="preserve">  </w:t>
      </w:r>
      <w:proofErr w:type="spellStart"/>
      <w:r>
        <w:rPr>
          <w:rFonts w:ascii="Libre Franklin" w:eastAsia="Libre Franklin" w:hAnsi="Libre Franklin" w:cs="Libre Franklin"/>
          <w:b/>
          <w:color w:val="1F3864"/>
          <w:sz w:val="24"/>
          <w:szCs w:val="24"/>
        </w:rPr>
        <w:t>BioTelemetry</w:t>
      </w:r>
      <w:proofErr w:type="spellEnd"/>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Masimo</w:t>
      </w:r>
      <w:proofErr w:type="spellEnd"/>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-1935479</wp:posOffset>
            </wp:positionH>
            <wp:positionV relativeFrom="page">
              <wp:posOffset>-1092199</wp:posOffset>
            </wp:positionV>
            <wp:extent cx="10220215" cy="14454202"/>
            <wp:effectExtent l="0" t="0" r="0" b="0"/>
            <wp:wrapNone/>
            <wp:docPr id="198672823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Boston Scientific</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2B718D" w:rsidRDefault="00C83CE7">
      <w:pPr>
        <w:numPr>
          <w:ilvl w:val="1"/>
          <w:numId w:val="4"/>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Siemens </w:t>
      </w:r>
      <w:proofErr w:type="spellStart"/>
      <w:r>
        <w:rPr>
          <w:rFonts w:ascii="Libre Franklin" w:eastAsia="Libre Franklin" w:hAnsi="Libre Franklin" w:cs="Libre Franklin"/>
          <w:b/>
          <w:color w:val="1F3864"/>
          <w:sz w:val="24"/>
          <w:szCs w:val="24"/>
        </w:rPr>
        <w:t>Healthineers</w:t>
      </w:r>
      <w:proofErr w:type="spellEnd"/>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right" w:pos="1418"/>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GE HealthCare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276"/>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Abbott</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 w:val="left" w:pos="1701"/>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iRythm</w:t>
      </w:r>
      <w:proofErr w:type="spellEnd"/>
      <w:r>
        <w:rPr>
          <w:rFonts w:ascii="Libre Franklin" w:eastAsia="Libre Franklin" w:hAnsi="Libre Franklin" w:cs="Libre Franklin"/>
          <w:b/>
          <w:color w:val="002060"/>
          <w:sz w:val="24"/>
          <w:szCs w:val="24"/>
        </w:rPr>
        <w:t xml:space="preserve"> Technologies</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-914399</wp:posOffset>
            </wp:positionH>
            <wp:positionV relativeFrom="page">
              <wp:posOffset>-960118</wp:posOffset>
            </wp:positionV>
            <wp:extent cx="10220215" cy="14454202"/>
            <wp:effectExtent l="0" t="0" r="0" b="0"/>
            <wp:wrapNone/>
            <wp:docPr id="198672824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CardiAI</w:t>
      </w:r>
      <w:proofErr w:type="spellEnd"/>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002060"/>
          <w:sz w:val="24"/>
          <w:szCs w:val="24"/>
        </w:rPr>
        <w:t>Inc</w:t>
      </w:r>
      <w:proofErr w:type="spellEnd"/>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Virta</w:t>
      </w:r>
      <w:proofErr w:type="spellEnd"/>
      <w:r>
        <w:rPr>
          <w:rFonts w:ascii="Libre Franklin" w:eastAsia="Libre Franklin" w:hAnsi="Libre Franklin" w:cs="Libre Franklin"/>
          <w:b/>
          <w:color w:val="002060"/>
          <w:sz w:val="24"/>
          <w:szCs w:val="24"/>
        </w:rPr>
        <w:t xml:space="preserve"> Health</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 w:val="left" w:pos="1701"/>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Omada</w:t>
      </w:r>
      <w:proofErr w:type="spellEnd"/>
      <w:r>
        <w:rPr>
          <w:rFonts w:ascii="Libre Franklin" w:eastAsia="Libre Franklin" w:hAnsi="Libre Franklin" w:cs="Libre Franklin"/>
          <w:b/>
          <w:color w:val="002060"/>
          <w:sz w:val="24"/>
          <w:szCs w:val="24"/>
        </w:rPr>
        <w:t xml:space="preserve"> Health</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276"/>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CorVista</w:t>
      </w:r>
      <w:proofErr w:type="spellEnd"/>
      <w:r>
        <w:rPr>
          <w:rFonts w:ascii="Libre Franklin" w:eastAsia="Libre Franklin" w:hAnsi="Libre Franklin" w:cs="Libre Franklin"/>
          <w:b/>
          <w:color w:val="002060"/>
          <w:sz w:val="24"/>
          <w:szCs w:val="24"/>
        </w:rPr>
        <w:t xml:space="preserve"> Health</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 w:val="left" w:pos="1560"/>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Xenter</w:t>
      </w:r>
      <w:proofErr w:type="spellEnd"/>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page">
              <wp:posOffset>-1706879</wp:posOffset>
            </wp:positionH>
            <wp:positionV relativeFrom="page">
              <wp:posOffset>-1463039</wp:posOffset>
            </wp:positionV>
            <wp:extent cx="10220215" cy="14454202"/>
            <wp:effectExtent l="0" t="0" r="0" b="0"/>
            <wp:wrapNone/>
            <wp:docPr id="198672823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 w:val="left" w:pos="1701"/>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SafeBeat</w:t>
      </w:r>
      <w:proofErr w:type="spellEnd"/>
      <w:r>
        <w:rPr>
          <w:rFonts w:ascii="Libre Franklin" w:eastAsia="Libre Franklin" w:hAnsi="Libre Franklin" w:cs="Libre Franklin"/>
          <w:b/>
          <w:color w:val="002060"/>
          <w:sz w:val="24"/>
          <w:szCs w:val="24"/>
        </w:rPr>
        <w:t xml:space="preserve"> Rx</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1"/>
          <w:numId w:val="4"/>
        </w:numPr>
        <w:pBdr>
          <w:top w:val="nil"/>
          <w:left w:val="nil"/>
          <w:bottom w:val="nil"/>
          <w:right w:val="nil"/>
          <w:between w:val="nil"/>
        </w:pBdr>
        <w:tabs>
          <w:tab w:val="left" w:pos="1418"/>
          <w:tab w:val="left" w:pos="1701"/>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RSIP Vision</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2B718D" w:rsidRDefault="00C83CE7">
      <w:pPr>
        <w:numPr>
          <w:ilvl w:val="2"/>
          <w:numId w:val="4"/>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2B718D" w:rsidRDefault="00C83CE7">
      <w:pPr>
        <w:numPr>
          <w:ilvl w:val="0"/>
          <w:numId w:val="4"/>
        </w:numPr>
        <w:pBdr>
          <w:top w:val="nil"/>
          <w:left w:val="nil"/>
          <w:bottom w:val="nil"/>
          <w:right w:val="nil"/>
          <w:between w:val="nil"/>
        </w:pBdr>
        <w:tabs>
          <w:tab w:val="left" w:pos="1134"/>
        </w:tabs>
        <w:spacing w:after="0" w:line="60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2B718D" w:rsidRDefault="00C83CE7">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Product Launches/Developments</w:t>
      </w:r>
    </w:p>
    <w:p w:rsidR="002B718D" w:rsidRDefault="00C83CE7">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2B718D" w:rsidRDefault="00C83CE7">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2B718D" w:rsidRDefault="00C83CE7">
      <w:pPr>
        <w:numPr>
          <w:ilvl w:val="1"/>
          <w:numId w:val="4"/>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2B718D" w:rsidRDefault="00C83CE7">
      <w:pPr>
        <w:numPr>
          <w:ilvl w:val="0"/>
          <w:numId w:val="4"/>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2B718D" w:rsidRDefault="00C83CE7">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10.1 Related Research</w:t>
      </w:r>
    </w:p>
    <w:p w:rsidR="002B718D" w:rsidRDefault="002B718D"/>
    <w:p w:rsidR="002B718D" w:rsidRDefault="002B718D"/>
    <w:p w:rsidR="002B718D" w:rsidRDefault="002B718D"/>
    <w:p w:rsidR="002B718D" w:rsidRDefault="002B718D"/>
    <w:p w:rsidR="002B718D" w:rsidRDefault="002B718D"/>
    <w:p w:rsidR="002B718D" w:rsidRDefault="002B718D"/>
    <w:p w:rsidR="002B718D" w:rsidRDefault="002B718D"/>
    <w:p w:rsidR="002B718D" w:rsidRDefault="002B718D"/>
    <w:p w:rsidR="002B718D" w:rsidRDefault="002B718D"/>
    <w:p w:rsidR="002B718D" w:rsidRDefault="002B718D"/>
    <w:p w:rsidR="002B718D" w:rsidRDefault="002B718D"/>
    <w:sectPr w:rsidR="002B718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73BC"/>
    <w:multiLevelType w:val="multilevel"/>
    <w:tmpl w:val="64DCA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BC0640"/>
    <w:multiLevelType w:val="multilevel"/>
    <w:tmpl w:val="DB561230"/>
    <w:lvl w:ilvl="0">
      <w:start w:val="7"/>
      <w:numFmt w:val="decimal"/>
      <w:lvlText w:val="%1"/>
      <w:lvlJc w:val="left"/>
      <w:pPr>
        <w:ind w:left="720" w:hanging="360"/>
      </w:pPr>
      <w:rPr>
        <w:b/>
        <w:sz w:val="40"/>
        <w:szCs w:val="40"/>
      </w:rPr>
    </w:lvl>
    <w:lvl w:ilvl="1">
      <w:start w:val="1"/>
      <w:numFmt w:val="decimal"/>
      <w:lvlText w:val="%1.%2"/>
      <w:lvlJc w:val="left"/>
      <w:pPr>
        <w:ind w:left="1248" w:hanging="396"/>
      </w:pPr>
    </w:lvl>
    <w:lvl w:ilvl="2">
      <w:start w:val="1"/>
      <w:numFmt w:val="decimal"/>
      <w:lvlText w:val="%1.%2.%3"/>
      <w:lvlJc w:val="left"/>
      <w:pPr>
        <w:ind w:left="2064"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2" w15:restartNumberingAfterBreak="0">
    <w:nsid w:val="277F5EDE"/>
    <w:multiLevelType w:val="multilevel"/>
    <w:tmpl w:val="60202B22"/>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3" w15:restartNumberingAfterBreak="0">
    <w:nsid w:val="6B020D08"/>
    <w:multiLevelType w:val="multilevel"/>
    <w:tmpl w:val="1FD2F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7B7818"/>
    <w:multiLevelType w:val="multilevel"/>
    <w:tmpl w:val="2942298A"/>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5" w15:restartNumberingAfterBreak="0">
    <w:nsid w:val="7D4A5340"/>
    <w:multiLevelType w:val="multilevel"/>
    <w:tmpl w:val="04825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8D"/>
    <w:rsid w:val="002B718D"/>
    <w:rsid w:val="00C83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969C"/>
  <w15:docId w15:val="{4E7BAA1D-5074-4A52-8571-EE077583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A5"/>
  </w:style>
  <w:style w:type="paragraph" w:styleId="Heading1">
    <w:name w:val="heading 1"/>
    <w:basedOn w:val="Normal"/>
    <w:next w:val="Normal"/>
    <w:link w:val="Heading1Char"/>
    <w:uiPriority w:val="9"/>
    <w:qFormat/>
    <w:rsid w:val="00E472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2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2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2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2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72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2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2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2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2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2A5"/>
    <w:rPr>
      <w:rFonts w:eastAsiaTheme="majorEastAsia" w:cstheme="majorBidi"/>
      <w:color w:val="272727" w:themeColor="text1" w:themeTint="D8"/>
    </w:rPr>
  </w:style>
  <w:style w:type="character" w:customStyle="1" w:styleId="TitleChar">
    <w:name w:val="Title Char"/>
    <w:basedOn w:val="DefaultParagraphFont"/>
    <w:link w:val="Title"/>
    <w:uiPriority w:val="10"/>
    <w:rsid w:val="00E47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E47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2A5"/>
    <w:pPr>
      <w:spacing w:before="160"/>
      <w:jc w:val="center"/>
    </w:pPr>
    <w:rPr>
      <w:i/>
      <w:iCs/>
      <w:color w:val="404040" w:themeColor="text1" w:themeTint="BF"/>
    </w:rPr>
  </w:style>
  <w:style w:type="character" w:customStyle="1" w:styleId="QuoteChar">
    <w:name w:val="Quote Char"/>
    <w:basedOn w:val="DefaultParagraphFont"/>
    <w:link w:val="Quote"/>
    <w:uiPriority w:val="29"/>
    <w:rsid w:val="00E472A5"/>
    <w:rPr>
      <w:i/>
      <w:iCs/>
      <w:color w:val="404040" w:themeColor="text1" w:themeTint="BF"/>
    </w:rPr>
  </w:style>
  <w:style w:type="paragraph" w:styleId="ListParagraph">
    <w:name w:val="List Paragraph"/>
    <w:aliases w:val="Lists,MnM Disclaimer,list 1"/>
    <w:basedOn w:val="Normal"/>
    <w:link w:val="ListParagraphChar"/>
    <w:uiPriority w:val="34"/>
    <w:qFormat/>
    <w:rsid w:val="00E472A5"/>
    <w:pPr>
      <w:ind w:left="720"/>
      <w:contextualSpacing/>
    </w:pPr>
  </w:style>
  <w:style w:type="character" w:styleId="IntenseEmphasis">
    <w:name w:val="Intense Emphasis"/>
    <w:basedOn w:val="DefaultParagraphFont"/>
    <w:uiPriority w:val="21"/>
    <w:qFormat/>
    <w:rsid w:val="00E472A5"/>
    <w:rPr>
      <w:i/>
      <w:iCs/>
      <w:color w:val="2F5496" w:themeColor="accent1" w:themeShade="BF"/>
    </w:rPr>
  </w:style>
  <w:style w:type="paragraph" w:styleId="IntenseQuote">
    <w:name w:val="Intense Quote"/>
    <w:basedOn w:val="Normal"/>
    <w:next w:val="Normal"/>
    <w:link w:val="IntenseQuoteChar"/>
    <w:uiPriority w:val="30"/>
    <w:qFormat/>
    <w:rsid w:val="00E472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2A5"/>
    <w:rPr>
      <w:i/>
      <w:iCs/>
      <w:color w:val="2F5496" w:themeColor="accent1" w:themeShade="BF"/>
    </w:rPr>
  </w:style>
  <w:style w:type="character" w:styleId="IntenseReference">
    <w:name w:val="Intense Reference"/>
    <w:basedOn w:val="DefaultParagraphFont"/>
    <w:uiPriority w:val="32"/>
    <w:qFormat/>
    <w:rsid w:val="00E472A5"/>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E472A5"/>
  </w:style>
  <w:style w:type="paragraph" w:styleId="Header">
    <w:name w:val="header"/>
    <w:basedOn w:val="Normal"/>
    <w:link w:val="HeaderChar"/>
    <w:uiPriority w:val="99"/>
    <w:unhideWhenUsed/>
    <w:rsid w:val="00EB4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C6F"/>
  </w:style>
  <w:style w:type="paragraph" w:styleId="Footer">
    <w:name w:val="footer"/>
    <w:basedOn w:val="Normal"/>
    <w:link w:val="FooterChar"/>
    <w:uiPriority w:val="99"/>
    <w:unhideWhenUsed/>
    <w:rsid w:val="00EB4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OmIFWuwE/10CrOzw3EwS0thoA==">CgMxLjAyDmguanZ2cXBhbmJnb29vMg5oLndpZjJrazIwemcwaTgAciExVTg4clRkbHAxUWFtOGloRk5GNVZ0czVFb1VwVEZjYVU=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2025-05-02T06:04:00Z</dcterms:created>
  <dcterms:modified xsi:type="dcterms:W3CDTF">2025-05-09T09:45:00Z</dcterms:modified>
</cp:coreProperties>
</file>