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C03" w:rsidRDefault="00E92033">
      <w:pPr>
        <w:spacing w:after="0" w:line="240" w:lineRule="auto"/>
        <w:jc w:val="both"/>
        <w:rPr>
          <w:rFonts w:ascii="Libre Franklin" w:eastAsia="Libre Franklin" w:hAnsi="Libre Franklin" w:cs="Libre Franklin"/>
          <w:b/>
          <w:color w:val="002060"/>
          <w:sz w:val="24"/>
          <w:szCs w:val="24"/>
        </w:rPr>
      </w:pPr>
      <w:bookmarkStart w:id="0" w:name="_heading=h.n42i28toirq8"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-1996438</wp:posOffset>
            </wp:positionH>
            <wp:positionV relativeFrom="page">
              <wp:posOffset>-1586864</wp:posOffset>
            </wp:positionV>
            <wp:extent cx="10220215" cy="14454202"/>
            <wp:effectExtent l="0" t="0" r="0" b="0"/>
            <wp:wrapNone/>
            <wp:docPr id="213551283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Gastroesophageal Reflux Disease Therapeutics Market</w:t>
      </w:r>
    </w:p>
    <w:p w:rsidR="00816C03" w:rsidRDefault="00816C03">
      <w:pPr>
        <w:spacing w:after="0" w:line="240" w:lineRule="auto"/>
        <w:jc w:val="both"/>
        <w:rPr>
          <w:rFonts w:ascii="Times New Roman" w:eastAsia="Times New Roman" w:hAnsi="Times New Roman" w:cs="Times New Roman"/>
          <w:color w:val="000000"/>
        </w:rPr>
      </w:pPr>
    </w:p>
    <w:p w:rsidR="00816C03" w:rsidRDefault="00E92033">
      <w:pPr>
        <w:spacing w:after="0"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Gastroesophageal Reflux Disease Therapeutics Market</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color w:val="002060"/>
          <w:sz w:val="24"/>
          <w:szCs w:val="24"/>
        </w:rPr>
        <w:t>size was valued at USD 1,980.7 Million in 2024 and is projected to reach USD 2,275.52 Million by 2032, growing at a CAGR of 2.17% from 2025 to 2032.</w:t>
      </w:r>
    </w:p>
    <w:p w:rsidR="00E92033" w:rsidRDefault="00E92033">
      <w:pP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noProof/>
          <w:color w:val="002060"/>
          <w:sz w:val="24"/>
          <w:szCs w:val="24"/>
        </w:rPr>
        <w:drawing>
          <wp:inline distT="0" distB="0" distL="0" distR="0">
            <wp:extent cx="5731510" cy="2810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Gastr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p w:rsidR="00816C03" w:rsidRDefault="00E92033">
      <w:pPr>
        <w:spacing w:line="360" w:lineRule="auto"/>
        <w:jc w:val="both"/>
        <w:rPr>
          <w:rFonts w:ascii="Libre Franklin" w:eastAsia="Libre Franklin" w:hAnsi="Libre Franklin" w:cs="Libre Franklin"/>
          <w:color w:val="002060"/>
          <w:sz w:val="24"/>
          <w:szCs w:val="24"/>
        </w:rPr>
      </w:pPr>
      <w:bookmarkStart w:id="1" w:name="_heading=h.tomcy98lzrf3" w:colFirst="0" w:colLast="0"/>
      <w:bookmarkStart w:id="2" w:name="_GoBack"/>
      <w:bookmarkEnd w:id="1"/>
      <w:bookmarkEnd w:id="2"/>
      <w:r>
        <w:rPr>
          <w:rFonts w:ascii="Libre Franklin" w:eastAsia="Libre Franklin" w:hAnsi="Libre Franklin" w:cs="Libre Franklin"/>
          <w:color w:val="002060"/>
          <w:sz w:val="24"/>
          <w:szCs w:val="24"/>
        </w:rPr>
        <w:t xml:space="preserve">Gastroesophageal Reflux Disease (GERD) is a chronic and often progressive condition in which stomach acid </w:t>
      </w:r>
      <w:r>
        <w:rPr>
          <w:rFonts w:ascii="Libre Franklin" w:eastAsia="Libre Franklin" w:hAnsi="Libre Franklin" w:cs="Libre Franklin"/>
          <w:color w:val="002060"/>
          <w:sz w:val="24"/>
          <w:szCs w:val="24"/>
        </w:rPr>
        <w:t xml:space="preserve">or, occasionally, bile flows back (refluxes) into the </w:t>
      </w:r>
      <w:proofErr w:type="spellStart"/>
      <w:r>
        <w:rPr>
          <w:rFonts w:ascii="Libre Franklin" w:eastAsia="Libre Franklin" w:hAnsi="Libre Franklin" w:cs="Libre Franklin"/>
          <w:color w:val="002060"/>
          <w:sz w:val="24"/>
          <w:szCs w:val="24"/>
        </w:rPr>
        <w:t>esophagus</w:t>
      </w:r>
      <w:proofErr w:type="spellEnd"/>
      <w:r>
        <w:rPr>
          <w:rFonts w:ascii="Libre Franklin" w:eastAsia="Libre Franklin" w:hAnsi="Libre Franklin" w:cs="Libre Franklin"/>
          <w:color w:val="002060"/>
          <w:sz w:val="24"/>
          <w:szCs w:val="24"/>
        </w:rPr>
        <w:t xml:space="preserve">, the tube connecting the mouth and stomach. This backwash of acid irritates the lining of the </w:t>
      </w:r>
      <w:proofErr w:type="spellStart"/>
      <w:r>
        <w:rPr>
          <w:rFonts w:ascii="Libre Franklin" w:eastAsia="Libre Franklin" w:hAnsi="Libre Franklin" w:cs="Libre Franklin"/>
          <w:color w:val="002060"/>
          <w:sz w:val="24"/>
          <w:szCs w:val="24"/>
        </w:rPr>
        <w:t>esophagus</w:t>
      </w:r>
      <w:proofErr w:type="spellEnd"/>
      <w:r>
        <w:rPr>
          <w:rFonts w:ascii="Libre Franklin" w:eastAsia="Libre Franklin" w:hAnsi="Libre Franklin" w:cs="Libre Franklin"/>
          <w:color w:val="002060"/>
          <w:sz w:val="24"/>
          <w:szCs w:val="24"/>
        </w:rPr>
        <w:t>, leading to symptoms such as heartburn, chest pain, regurgitation of food or sour liquid</w:t>
      </w:r>
      <w:r>
        <w:rPr>
          <w:rFonts w:ascii="Libre Franklin" w:eastAsia="Libre Franklin" w:hAnsi="Libre Franklin" w:cs="Libre Franklin"/>
          <w:color w:val="002060"/>
          <w:sz w:val="24"/>
          <w:szCs w:val="24"/>
        </w:rPr>
        <w:t xml:space="preserve">, difficulty swallowing, and chronic cough. If left untreated, GERD can significantly impair quality of life and may lead to serious complications like </w:t>
      </w:r>
      <w:proofErr w:type="spellStart"/>
      <w:r>
        <w:rPr>
          <w:rFonts w:ascii="Libre Franklin" w:eastAsia="Libre Franklin" w:hAnsi="Libre Franklin" w:cs="Libre Franklin"/>
          <w:color w:val="002060"/>
          <w:sz w:val="24"/>
          <w:szCs w:val="24"/>
        </w:rPr>
        <w:t>esophageal</w:t>
      </w:r>
      <w:proofErr w:type="spellEnd"/>
      <w:r>
        <w:rPr>
          <w:rFonts w:ascii="Libre Franklin" w:eastAsia="Libre Franklin" w:hAnsi="Libre Franklin" w:cs="Libre Franklin"/>
          <w:color w:val="002060"/>
          <w:sz w:val="24"/>
          <w:szCs w:val="24"/>
        </w:rPr>
        <w:t xml:space="preserve"> ulcers, strictures, Barrett's </w:t>
      </w:r>
      <w:proofErr w:type="spellStart"/>
      <w:r>
        <w:rPr>
          <w:rFonts w:ascii="Libre Franklin" w:eastAsia="Libre Franklin" w:hAnsi="Libre Franklin" w:cs="Libre Franklin"/>
          <w:color w:val="002060"/>
          <w:sz w:val="24"/>
          <w:szCs w:val="24"/>
        </w:rPr>
        <w:t>esophagus</w:t>
      </w:r>
      <w:proofErr w:type="spellEnd"/>
      <w:r>
        <w:rPr>
          <w:rFonts w:ascii="Libre Franklin" w:eastAsia="Libre Franklin" w:hAnsi="Libre Franklin" w:cs="Libre Franklin"/>
          <w:color w:val="002060"/>
          <w:sz w:val="24"/>
          <w:szCs w:val="24"/>
        </w:rPr>
        <w:t xml:space="preserve">, and even </w:t>
      </w:r>
      <w:proofErr w:type="spellStart"/>
      <w:r>
        <w:rPr>
          <w:rFonts w:ascii="Libre Franklin" w:eastAsia="Libre Franklin" w:hAnsi="Libre Franklin" w:cs="Libre Franklin"/>
          <w:color w:val="002060"/>
          <w:sz w:val="24"/>
          <w:szCs w:val="24"/>
        </w:rPr>
        <w:t>esophageal</w:t>
      </w:r>
      <w:proofErr w:type="spellEnd"/>
      <w:r>
        <w:rPr>
          <w:rFonts w:ascii="Libre Franklin" w:eastAsia="Libre Franklin" w:hAnsi="Libre Franklin" w:cs="Libre Franklin"/>
          <w:color w:val="002060"/>
          <w:sz w:val="24"/>
          <w:szCs w:val="24"/>
        </w:rPr>
        <w:t xml:space="preserve"> cancer. It impacts millions of p</w:t>
      </w:r>
      <w:r>
        <w:rPr>
          <w:rFonts w:ascii="Libre Franklin" w:eastAsia="Libre Franklin" w:hAnsi="Libre Franklin" w:cs="Libre Franklin"/>
          <w:color w:val="002060"/>
          <w:sz w:val="24"/>
          <w:szCs w:val="24"/>
        </w:rPr>
        <w:t xml:space="preserve">eople globally, with a notably higher prevalence in Western countries. Various factors, including obesity, </w:t>
      </w:r>
      <w:proofErr w:type="gramStart"/>
      <w:r>
        <w:rPr>
          <w:rFonts w:ascii="Libre Franklin" w:eastAsia="Libre Franklin" w:hAnsi="Libre Franklin" w:cs="Libre Franklin"/>
          <w:color w:val="002060"/>
          <w:sz w:val="24"/>
          <w:szCs w:val="24"/>
        </w:rPr>
        <w:t>pregnancy</w:t>
      </w:r>
      <w:proofErr w:type="gramEnd"/>
      <w:r>
        <w:rPr>
          <w:rFonts w:ascii="Libre Franklin" w:eastAsia="Libre Franklin" w:hAnsi="Libre Franklin" w:cs="Libre Franklin"/>
          <w:color w:val="002060"/>
          <w:sz w:val="24"/>
          <w:szCs w:val="24"/>
        </w:rPr>
        <w:t>, smoking, poor dietary habits, and underlying medical conditions, contribute to an increased risk of developing the disease. As GERD is a c</w:t>
      </w:r>
      <w:r>
        <w:rPr>
          <w:rFonts w:ascii="Libre Franklin" w:eastAsia="Libre Franklin" w:hAnsi="Libre Franklin" w:cs="Libre Franklin"/>
          <w:color w:val="002060"/>
          <w:sz w:val="24"/>
          <w:szCs w:val="24"/>
        </w:rPr>
        <w:t xml:space="preserve">hronic and often progressive condition, long-term management is crucial to protect the </w:t>
      </w:r>
      <w:proofErr w:type="spellStart"/>
      <w:r>
        <w:rPr>
          <w:rFonts w:ascii="Libre Franklin" w:eastAsia="Libre Franklin" w:hAnsi="Libre Franklin" w:cs="Libre Franklin"/>
          <w:color w:val="002060"/>
          <w:sz w:val="24"/>
          <w:szCs w:val="24"/>
        </w:rPr>
        <w:t>esophagus</w:t>
      </w:r>
      <w:proofErr w:type="spellEnd"/>
      <w:r>
        <w:rPr>
          <w:rFonts w:ascii="Libre Franklin" w:eastAsia="Libre Franklin" w:hAnsi="Libre Franklin" w:cs="Libre Franklin"/>
          <w:color w:val="002060"/>
          <w:sz w:val="24"/>
          <w:szCs w:val="24"/>
        </w:rPr>
        <w:t xml:space="preserve"> from damage and to preserve a good quality of life.</w:t>
      </w:r>
    </w:p>
    <w:p w:rsidR="00816C03" w:rsidRDefault="00E92033">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treatment of GERD aims to relieve symptoms, heal the </w:t>
      </w:r>
      <w:proofErr w:type="spellStart"/>
      <w:r>
        <w:rPr>
          <w:rFonts w:ascii="Libre Franklin" w:eastAsia="Libre Franklin" w:hAnsi="Libre Franklin" w:cs="Libre Franklin"/>
          <w:color w:val="002060"/>
          <w:sz w:val="24"/>
          <w:szCs w:val="24"/>
        </w:rPr>
        <w:t>esophageal</w:t>
      </w:r>
      <w:proofErr w:type="spellEnd"/>
      <w:r>
        <w:rPr>
          <w:rFonts w:ascii="Libre Franklin" w:eastAsia="Libre Franklin" w:hAnsi="Libre Franklin" w:cs="Libre Franklin"/>
          <w:color w:val="002060"/>
          <w:sz w:val="24"/>
          <w:szCs w:val="24"/>
        </w:rPr>
        <w:t xml:space="preserve"> lining, and prevent complications. Init</w:t>
      </w:r>
      <w:r>
        <w:rPr>
          <w:rFonts w:ascii="Libre Franklin" w:eastAsia="Libre Franklin" w:hAnsi="Libre Franklin" w:cs="Libre Franklin"/>
          <w:color w:val="002060"/>
          <w:sz w:val="24"/>
          <w:szCs w:val="24"/>
        </w:rPr>
        <w:t xml:space="preserve">ial management often involves lifestyle changes such as weight loss, dietary modifications, quitting smoking, and elevating the head during sleep. Medications play a central role in the management of GERD, </w:t>
      </w:r>
      <w:r>
        <w:rPr>
          <w:rFonts w:ascii="Libre Franklin" w:eastAsia="Libre Franklin" w:hAnsi="Libre Franklin" w:cs="Libre Franklin"/>
          <w:color w:val="002060"/>
          <w:sz w:val="24"/>
          <w:szCs w:val="24"/>
        </w:rPr>
        <w:lastRenderedPageBreak/>
        <w:t>providing relief from symptoms and promoting heali</w:t>
      </w:r>
      <w:r>
        <w:rPr>
          <w:rFonts w:ascii="Libre Franklin" w:eastAsia="Libre Franklin" w:hAnsi="Libre Franklin" w:cs="Libre Franklin"/>
          <w:color w:val="002060"/>
          <w:sz w:val="24"/>
          <w:szCs w:val="24"/>
        </w:rPr>
        <w:t xml:space="preserve">ng of the </w:t>
      </w:r>
      <w:proofErr w:type="spellStart"/>
      <w:r>
        <w:rPr>
          <w:rFonts w:ascii="Libre Franklin" w:eastAsia="Libre Franklin" w:hAnsi="Libre Franklin" w:cs="Libre Franklin"/>
          <w:color w:val="002060"/>
          <w:sz w:val="24"/>
          <w:szCs w:val="24"/>
        </w:rPr>
        <w:t>esophageal</w:t>
      </w:r>
      <w:proofErr w:type="spellEnd"/>
      <w:r>
        <w:rPr>
          <w:rFonts w:ascii="Libre Franklin" w:eastAsia="Libre Franklin" w:hAnsi="Libre Franklin" w:cs="Libre Franklin"/>
          <w:color w:val="002060"/>
          <w:sz w:val="24"/>
          <w:szCs w:val="24"/>
        </w:rPr>
        <w:t xml:space="preserve"> lining. Antacids are often used as the first line of </w:t>
      </w:r>
      <w:proofErr w:type="spellStart"/>
      <w:r>
        <w:rPr>
          <w:rFonts w:ascii="Libre Franklin" w:eastAsia="Libre Franklin" w:hAnsi="Libre Franklin" w:cs="Libre Franklin"/>
          <w:color w:val="002060"/>
          <w:sz w:val="24"/>
          <w:szCs w:val="24"/>
        </w:rPr>
        <w:t>defense</w:t>
      </w:r>
      <w:proofErr w:type="spellEnd"/>
      <w:r>
        <w:rPr>
          <w:rFonts w:ascii="Libre Franklin" w:eastAsia="Libre Franklin" w:hAnsi="Libre Franklin" w:cs="Libre Franklin"/>
          <w:color w:val="002060"/>
          <w:sz w:val="24"/>
          <w:szCs w:val="24"/>
        </w:rPr>
        <w:t>, offering quick but short-term relief by neutralizing existing stomach acid. For more sustained control, H2 receptor blockers, such as ranitidine and famotidine, are prescrib</w:t>
      </w:r>
      <w:r>
        <w:rPr>
          <w:rFonts w:ascii="Libre Franklin" w:eastAsia="Libre Franklin" w:hAnsi="Libre Franklin" w:cs="Libre Franklin"/>
          <w:color w:val="002060"/>
          <w:sz w:val="24"/>
          <w:szCs w:val="24"/>
        </w:rPr>
        <w:t>ed to decrease acid production. Proton pump inhibitors (PPIs), like omeprazole and esomeprazole, are even more effective, providing longer-lasting suppression of acid secretion and are considered the gold standard for moderate to severe GERD. Additionally,</w:t>
      </w:r>
      <w:r>
        <w:rPr>
          <w:rFonts w:ascii="Libre Franklin" w:eastAsia="Libre Franklin" w:hAnsi="Libre Franklin" w:cs="Libre Franklin"/>
          <w:color w:val="002060"/>
          <w:sz w:val="24"/>
          <w:szCs w:val="24"/>
        </w:rPr>
        <w:t xml:space="preserve"> </w:t>
      </w:r>
      <w:proofErr w:type="spellStart"/>
      <w:r>
        <w:rPr>
          <w:rFonts w:ascii="Libre Franklin" w:eastAsia="Libre Franklin" w:hAnsi="Libre Franklin" w:cs="Libre Franklin"/>
          <w:color w:val="002060"/>
          <w:sz w:val="24"/>
          <w:szCs w:val="24"/>
        </w:rPr>
        <w:t>prokinetic</w:t>
      </w:r>
      <w:proofErr w:type="spellEnd"/>
      <w:r>
        <w:rPr>
          <w:rFonts w:ascii="Libre Franklin" w:eastAsia="Libre Franklin" w:hAnsi="Libre Franklin" w:cs="Libre Franklin"/>
          <w:color w:val="002060"/>
          <w:sz w:val="24"/>
          <w:szCs w:val="24"/>
        </w:rPr>
        <w:t xml:space="preserve"> agents may be used to enhance the motility of the gastrointestinal tract, thereby improving gastric emptying and reducing the frequency of reflux episodes. When medications fail to adequately control symptoms or when patients prefer to avoid th</w:t>
      </w:r>
      <w:r>
        <w:rPr>
          <w:rFonts w:ascii="Libre Franklin" w:eastAsia="Libre Franklin" w:hAnsi="Libre Franklin" w:cs="Libre Franklin"/>
          <w:color w:val="002060"/>
          <w:sz w:val="24"/>
          <w:szCs w:val="24"/>
        </w:rPr>
        <w:t xml:space="preserve">e long-term use of drugs due to potential side effects, surgical interventions are considered. Procedures such as </w:t>
      </w:r>
      <w:proofErr w:type="spellStart"/>
      <w:r>
        <w:rPr>
          <w:rFonts w:ascii="Libre Franklin" w:eastAsia="Libre Franklin" w:hAnsi="Libre Franklin" w:cs="Libre Franklin"/>
          <w:color w:val="002060"/>
          <w:sz w:val="24"/>
          <w:szCs w:val="24"/>
        </w:rPr>
        <w:t>Nissen</w:t>
      </w:r>
      <w:proofErr w:type="spellEnd"/>
      <w:r>
        <w:rPr>
          <w:rFonts w:ascii="Libre Franklin" w:eastAsia="Libre Franklin" w:hAnsi="Libre Franklin" w:cs="Libre Franklin"/>
          <w:color w:val="002060"/>
          <w:sz w:val="24"/>
          <w:szCs w:val="24"/>
        </w:rPr>
        <w:t xml:space="preserve"> fundoplication, which strengthens the lower </w:t>
      </w:r>
      <w:proofErr w:type="spellStart"/>
      <w:r>
        <w:rPr>
          <w:rFonts w:ascii="Libre Franklin" w:eastAsia="Libre Franklin" w:hAnsi="Libre Franklin" w:cs="Libre Franklin"/>
          <w:color w:val="002060"/>
          <w:sz w:val="24"/>
          <w:szCs w:val="24"/>
        </w:rPr>
        <w:t>esophageal</w:t>
      </w:r>
      <w:proofErr w:type="spellEnd"/>
      <w:r>
        <w:rPr>
          <w:rFonts w:ascii="Libre Franklin" w:eastAsia="Libre Franklin" w:hAnsi="Libre Franklin" w:cs="Libre Franklin"/>
          <w:color w:val="002060"/>
          <w:sz w:val="24"/>
          <w:szCs w:val="24"/>
        </w:rPr>
        <w:t xml:space="preserve"> sphincter by wrapping the upper part of the stomach around it, and minimally inv</w:t>
      </w:r>
      <w:r>
        <w:rPr>
          <w:rFonts w:ascii="Libre Franklin" w:eastAsia="Libre Franklin" w:hAnsi="Libre Franklin" w:cs="Libre Franklin"/>
          <w:color w:val="002060"/>
          <w:sz w:val="24"/>
          <w:szCs w:val="24"/>
        </w:rPr>
        <w:t xml:space="preserve">asive </w:t>
      </w: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-1219199</wp:posOffset>
            </wp:positionH>
            <wp:positionV relativeFrom="page">
              <wp:posOffset>-914399</wp:posOffset>
            </wp:positionV>
            <wp:extent cx="10220215" cy="14454202"/>
            <wp:effectExtent l="0" t="0" r="0" b="0"/>
            <wp:wrapNone/>
            <wp:docPr id="21355128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techniques like LINX device implantation, a magnetic ring placed around the sphincter, have shown excellent outcomes. Endoscopic options, such as </w:t>
      </w:r>
      <w:proofErr w:type="spellStart"/>
      <w:r>
        <w:rPr>
          <w:rFonts w:ascii="Libre Franklin" w:eastAsia="Libre Franklin" w:hAnsi="Libre Franklin" w:cs="Libre Franklin"/>
          <w:color w:val="002060"/>
          <w:sz w:val="24"/>
          <w:szCs w:val="24"/>
        </w:rPr>
        <w:t>transoral</w:t>
      </w:r>
      <w:proofErr w:type="spellEnd"/>
      <w:r>
        <w:rPr>
          <w:rFonts w:ascii="Libre Franklin" w:eastAsia="Libre Franklin" w:hAnsi="Libre Franklin" w:cs="Libre Franklin"/>
          <w:color w:val="002060"/>
          <w:sz w:val="24"/>
          <w:szCs w:val="24"/>
        </w:rPr>
        <w:t xml:space="preserve"> incisionless fundoplication (TIF), offer less invasive alternatives with quicker recovery tim</w:t>
      </w:r>
      <w:r>
        <w:rPr>
          <w:rFonts w:ascii="Libre Franklin" w:eastAsia="Libre Franklin" w:hAnsi="Libre Franklin" w:cs="Libre Franklin"/>
          <w:color w:val="002060"/>
          <w:sz w:val="24"/>
          <w:szCs w:val="24"/>
        </w:rPr>
        <w:t>es. Meanwhile, advances in GERD research are leading to emerging therapies that aim for more personalized and less invasive treatment strategies, enhancing the quality of care and expanding options for patients with different severities of the disease.</w:t>
      </w:r>
    </w:p>
    <w:p w:rsidR="00816C03" w:rsidRDefault="00816C03">
      <w:pPr>
        <w:spacing w:after="0" w:line="240" w:lineRule="auto"/>
        <w:jc w:val="both"/>
        <w:rPr>
          <w:rFonts w:ascii="Libre Franklin" w:eastAsia="Libre Franklin" w:hAnsi="Libre Franklin" w:cs="Libre Franklin"/>
          <w:b/>
          <w:color w:val="002060"/>
          <w:sz w:val="24"/>
          <w:szCs w:val="24"/>
        </w:rPr>
      </w:pPr>
    </w:p>
    <w:p w:rsidR="00816C03" w:rsidRDefault="00E92033">
      <w:pPr>
        <w:spacing w:after="0" w:line="24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w:t>
      </w:r>
      <w:r>
        <w:rPr>
          <w:rFonts w:ascii="Libre Franklin" w:eastAsia="Libre Franklin" w:hAnsi="Libre Franklin" w:cs="Libre Franklin"/>
          <w:b/>
          <w:color w:val="002060"/>
          <w:sz w:val="24"/>
          <w:szCs w:val="24"/>
        </w:rPr>
        <w:t>S. Gastroesophageal Reflux Disease Therapeutics Market Definition</w:t>
      </w:r>
    </w:p>
    <w:p w:rsidR="00816C03" w:rsidRDefault="00816C03">
      <w:pPr>
        <w:spacing w:after="0" w:line="240" w:lineRule="auto"/>
        <w:jc w:val="both"/>
        <w:rPr>
          <w:rFonts w:ascii="Libre Franklin" w:eastAsia="Libre Franklin" w:hAnsi="Libre Franklin" w:cs="Libre Franklin"/>
          <w:b/>
          <w:color w:val="002060"/>
          <w:sz w:val="24"/>
          <w:szCs w:val="24"/>
        </w:rPr>
      </w:pPr>
    </w:p>
    <w:p w:rsidR="00816C03" w:rsidRDefault="00E92033">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Gastroesophageal Reflux Disease therapeutics market refers to the segment of the healthcare industry focused on the research, development, production, and commercialization of trea</w:t>
      </w:r>
      <w:r>
        <w:rPr>
          <w:rFonts w:ascii="Libre Franklin" w:eastAsia="Libre Franklin" w:hAnsi="Libre Franklin" w:cs="Libre Franklin"/>
          <w:color w:val="002060"/>
          <w:sz w:val="24"/>
          <w:szCs w:val="24"/>
        </w:rPr>
        <w:t xml:space="preserve">tments aimed at managing and alleviating the symptoms of GERD. The market encompasses a broad spectrum of therapeutic solutions, including pharmaceutical products such as antacids, H2 receptor antagonists, PPIs, </w:t>
      </w:r>
      <w:proofErr w:type="spellStart"/>
      <w:r>
        <w:rPr>
          <w:rFonts w:ascii="Libre Franklin" w:eastAsia="Libre Franklin" w:hAnsi="Libre Franklin" w:cs="Libre Franklin"/>
          <w:color w:val="002060"/>
          <w:sz w:val="24"/>
          <w:szCs w:val="24"/>
        </w:rPr>
        <w:t>prokinetic</w:t>
      </w:r>
      <w:proofErr w:type="spellEnd"/>
      <w:r>
        <w:rPr>
          <w:rFonts w:ascii="Libre Franklin" w:eastAsia="Libre Franklin" w:hAnsi="Libre Franklin" w:cs="Libre Franklin"/>
          <w:color w:val="002060"/>
          <w:sz w:val="24"/>
          <w:szCs w:val="24"/>
        </w:rPr>
        <w:t xml:space="preserve"> agents, and alginate-based formul</w:t>
      </w:r>
      <w:r>
        <w:rPr>
          <w:rFonts w:ascii="Libre Franklin" w:eastAsia="Libre Franklin" w:hAnsi="Libre Franklin" w:cs="Libre Franklin"/>
          <w:color w:val="002060"/>
          <w:sz w:val="24"/>
          <w:szCs w:val="24"/>
        </w:rPr>
        <w:t xml:space="preserve">ations, alongside surgical and minimally invasive procedures like fundoplication and LINX device implantation. The U.S. Gastroesophageal Reflux Disease therapeutics </w:t>
      </w:r>
      <w:r>
        <w:rPr>
          <w:rFonts w:ascii="Libre Franklin" w:eastAsia="Libre Franklin" w:hAnsi="Libre Franklin" w:cs="Libre Franklin"/>
          <w:color w:val="002060"/>
          <w:sz w:val="24"/>
          <w:szCs w:val="24"/>
        </w:rPr>
        <w:lastRenderedPageBreak/>
        <w:t>market stands at the forefront of innovation, offering a comprehensive range of pharmaceuti</w:t>
      </w:r>
      <w:r>
        <w:rPr>
          <w:rFonts w:ascii="Libre Franklin" w:eastAsia="Libre Franklin" w:hAnsi="Libre Franklin" w:cs="Libre Franklin"/>
          <w:color w:val="002060"/>
          <w:sz w:val="24"/>
          <w:szCs w:val="24"/>
        </w:rPr>
        <w:t>cal and surgical solutions that are transforming patient care and redefining long-term disease management</w:t>
      </w:r>
    </w:p>
    <w:p w:rsidR="00816C03" w:rsidRDefault="00816C03">
      <w:pPr>
        <w:spacing w:line="360" w:lineRule="auto"/>
        <w:jc w:val="both"/>
        <w:rPr>
          <w:rFonts w:ascii="Libre Franklin" w:eastAsia="Libre Franklin" w:hAnsi="Libre Franklin" w:cs="Libre Franklin"/>
          <w:b/>
          <w:color w:val="002060"/>
          <w:sz w:val="24"/>
          <w:szCs w:val="24"/>
        </w:rPr>
      </w:pP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Gastroesophageal Reflux Disease Therapeutics Market Overview</w:t>
      </w:r>
    </w:p>
    <w:p w:rsidR="00816C03" w:rsidRDefault="00E92033">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Gastroesophageal Reflux Disease therapeutics market is primarily driven by</w:t>
      </w:r>
      <w:r>
        <w:rPr>
          <w:rFonts w:ascii="Libre Franklin" w:eastAsia="Libre Franklin" w:hAnsi="Libre Franklin" w:cs="Libre Franklin"/>
          <w:color w:val="002060"/>
          <w:sz w:val="24"/>
          <w:szCs w:val="24"/>
        </w:rPr>
        <w:t xml:space="preserve"> the high and growing prevalence of GERD,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lifestyle factors such as poor dietary habits, rising obesity rates, increasing alcohol consumption, and smoking. The increasing proportion of the aging population, who are more susceptible to digestive d</w:t>
      </w:r>
      <w:r>
        <w:rPr>
          <w:rFonts w:ascii="Libre Franklin" w:eastAsia="Libre Franklin" w:hAnsi="Libre Franklin" w:cs="Libre Franklin"/>
          <w:color w:val="002060"/>
          <w:sz w:val="24"/>
          <w:szCs w:val="24"/>
        </w:rPr>
        <w:t xml:space="preserve">isorders, is significantly </w:t>
      </w:r>
      <w:proofErr w:type="spellStart"/>
      <w:r>
        <w:rPr>
          <w:rFonts w:ascii="Libre Franklin" w:eastAsia="Libre Franklin" w:hAnsi="Libre Franklin" w:cs="Libre Franklin"/>
          <w:color w:val="002060"/>
          <w:sz w:val="24"/>
          <w:szCs w:val="24"/>
        </w:rPr>
        <w:t>fueling</w:t>
      </w:r>
      <w:proofErr w:type="spellEnd"/>
      <w:r>
        <w:rPr>
          <w:rFonts w:ascii="Libre Franklin" w:eastAsia="Libre Franklin" w:hAnsi="Libre Franklin" w:cs="Libre Franklin"/>
          <w:color w:val="002060"/>
          <w:sz w:val="24"/>
          <w:szCs w:val="24"/>
        </w:rPr>
        <w:t xml:space="preserve"> the demand for GERD treatments. Moreover, heightened awareness of GERD and its potential complications, along with advancements in diagnostic capabilities, is leading to earlier detection and a growing number of patients </w:t>
      </w:r>
      <w:r>
        <w:rPr>
          <w:rFonts w:ascii="Libre Franklin" w:eastAsia="Libre Franklin" w:hAnsi="Libre Franklin" w:cs="Libre Franklin"/>
          <w:color w:val="002060"/>
          <w:sz w:val="24"/>
          <w:szCs w:val="24"/>
        </w:rPr>
        <w:t xml:space="preserve">seeking timely therapeutic intervention. Technological advancements in the field of GERD therapeutics are playing a pivotal role in driving market growth. Innovations in pharmaceutical therapies, such as the development of novel PPIs, offer more effective </w:t>
      </w:r>
      <w:r>
        <w:rPr>
          <w:rFonts w:ascii="Libre Franklin" w:eastAsia="Libre Franklin" w:hAnsi="Libre Franklin" w:cs="Libre Franklin"/>
          <w:color w:val="002060"/>
          <w:sz w:val="24"/>
          <w:szCs w:val="24"/>
        </w:rPr>
        <w:t xml:space="preserve">and longer-lasting acid suppression, enhancing treatment outcomes for patients with chronic GERD. The increasing availability of over-the-counter (OTC) medications and the trend toward patient </w:t>
      </w: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margin">
              <wp:align>center</wp:align>
            </wp:positionH>
            <wp:positionV relativeFrom="page">
              <wp:posOffset>-955039</wp:posOffset>
            </wp:positionV>
            <wp:extent cx="10220215" cy="14454202"/>
            <wp:effectExtent l="0" t="0" r="0" b="0"/>
            <wp:wrapNone/>
            <wp:docPr id="21355128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self-management are widening access to treatment. Furthermore,</w:t>
      </w:r>
      <w:r>
        <w:rPr>
          <w:rFonts w:ascii="Libre Franklin" w:eastAsia="Libre Franklin" w:hAnsi="Libre Franklin" w:cs="Libre Franklin"/>
          <w:color w:val="002060"/>
          <w:sz w:val="24"/>
          <w:szCs w:val="24"/>
        </w:rPr>
        <w:t xml:space="preserve"> significant investment in research and development for more effective, personalized therapies and </w:t>
      </w:r>
      <w:proofErr w:type="spellStart"/>
      <w:r>
        <w:rPr>
          <w:rFonts w:ascii="Libre Franklin" w:eastAsia="Libre Franklin" w:hAnsi="Libre Franklin" w:cs="Libre Franklin"/>
          <w:color w:val="002060"/>
          <w:sz w:val="24"/>
          <w:szCs w:val="24"/>
        </w:rPr>
        <w:t>favorable</w:t>
      </w:r>
      <w:proofErr w:type="spellEnd"/>
      <w:r>
        <w:rPr>
          <w:rFonts w:ascii="Libre Franklin" w:eastAsia="Libre Franklin" w:hAnsi="Libre Franklin" w:cs="Libre Franklin"/>
          <w:color w:val="002060"/>
          <w:sz w:val="24"/>
          <w:szCs w:val="24"/>
        </w:rPr>
        <w:t xml:space="preserve"> reimbursement policies for surgical interventions are encouraging both innovation and adoption of newer treatments, collectively driving the U.S.</w:t>
      </w:r>
      <w:r>
        <w:t xml:space="preserve"> </w:t>
      </w:r>
      <w:r>
        <w:rPr>
          <w:rFonts w:ascii="Libre Franklin" w:eastAsia="Libre Franklin" w:hAnsi="Libre Franklin" w:cs="Libre Franklin"/>
          <w:color w:val="002060"/>
          <w:sz w:val="24"/>
          <w:szCs w:val="24"/>
        </w:rPr>
        <w:t>G</w:t>
      </w:r>
      <w:r>
        <w:rPr>
          <w:rFonts w:ascii="Libre Franklin" w:eastAsia="Libre Franklin" w:hAnsi="Libre Franklin" w:cs="Libre Franklin"/>
          <w:color w:val="002060"/>
          <w:sz w:val="24"/>
          <w:szCs w:val="24"/>
        </w:rPr>
        <w:t>astroesophageal Reflux Disease therapeutics market forward.</w:t>
      </w:r>
    </w:p>
    <w:p w:rsidR="00816C03" w:rsidRDefault="00816C03">
      <w:pPr>
        <w:spacing w:line="360" w:lineRule="auto"/>
        <w:jc w:val="both"/>
        <w:rPr>
          <w:rFonts w:ascii="Libre Franklin" w:eastAsia="Libre Franklin" w:hAnsi="Libre Franklin" w:cs="Libre Franklin"/>
          <w:b/>
          <w:color w:val="002060"/>
          <w:sz w:val="24"/>
          <w:szCs w:val="24"/>
        </w:rPr>
      </w:pP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Gastroesophageal Reflux Disease Therapeutics Market Segmentation</w:t>
      </w:r>
    </w:p>
    <w:p w:rsidR="00816C03" w:rsidRDefault="00E92033">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Gastroesophageal Reflux Disease therapeutics market is segmented based on drug class, treatment type, and end-user t</w:t>
      </w:r>
      <w:r>
        <w:rPr>
          <w:rFonts w:ascii="Libre Franklin" w:eastAsia="Libre Franklin" w:hAnsi="Libre Franklin" w:cs="Libre Franklin"/>
          <w:color w:val="002060"/>
          <w:sz w:val="24"/>
          <w:szCs w:val="24"/>
        </w:rPr>
        <w:t>o offer a more targeted and detailed understanding of the market landscape.</w:t>
      </w:r>
    </w:p>
    <w:p w:rsidR="00816C03" w:rsidRDefault="00816C03">
      <w:pPr>
        <w:spacing w:line="360" w:lineRule="auto"/>
        <w:jc w:val="both"/>
        <w:rPr>
          <w:rFonts w:ascii="Libre Franklin" w:eastAsia="Libre Franklin" w:hAnsi="Libre Franklin" w:cs="Libre Franklin"/>
          <w:b/>
          <w:color w:val="002060"/>
          <w:sz w:val="24"/>
          <w:szCs w:val="24"/>
        </w:rPr>
      </w:pP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Gastroesophageal Reflux Disease Therapeutics Market, By Drug Class</w:t>
      </w:r>
    </w:p>
    <w:p w:rsidR="00816C03" w:rsidRDefault="00E92033">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PPIs</w:t>
      </w:r>
    </w:p>
    <w:p w:rsidR="00816C03" w:rsidRDefault="00E92033">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H2 Receptor Antagonists</w:t>
      </w:r>
    </w:p>
    <w:p w:rsidR="00816C03" w:rsidRDefault="00E92033">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Antacids</w:t>
      </w:r>
    </w:p>
    <w:p w:rsidR="00816C03" w:rsidRDefault="00E92033">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Prokinetic</w:t>
      </w:r>
      <w:proofErr w:type="spellEnd"/>
      <w:r>
        <w:rPr>
          <w:rFonts w:ascii="Libre Franklin" w:eastAsia="Libre Franklin" w:hAnsi="Libre Franklin" w:cs="Libre Franklin"/>
          <w:b/>
          <w:color w:val="002060"/>
          <w:sz w:val="24"/>
          <w:szCs w:val="24"/>
        </w:rPr>
        <w:t xml:space="preserve"> Agents</w:t>
      </w:r>
    </w:p>
    <w:p w:rsidR="00816C03" w:rsidRDefault="00E92033">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Alginate-Based Therapies</w:t>
      </w:r>
    </w:p>
    <w:p w:rsidR="00816C03" w:rsidRDefault="00E92033">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U.S. Gastroesophageal Reflux Disease Therapeutics </w:t>
      </w:r>
      <w:proofErr w:type="spellStart"/>
      <w:r>
        <w:rPr>
          <w:rFonts w:ascii="Libre Franklin" w:eastAsia="Libre Franklin" w:hAnsi="Libre Franklin" w:cs="Libre Franklin"/>
          <w:color w:val="002060"/>
          <w:sz w:val="24"/>
          <w:szCs w:val="24"/>
        </w:rPr>
        <w:t>therapeutics</w:t>
      </w:r>
      <w:proofErr w:type="spellEnd"/>
      <w:r>
        <w:rPr>
          <w:rFonts w:ascii="Libre Franklin" w:eastAsia="Libre Franklin" w:hAnsi="Libre Franklin" w:cs="Libre Franklin"/>
          <w:color w:val="002060"/>
          <w:sz w:val="24"/>
          <w:szCs w:val="24"/>
        </w:rPr>
        <w:t xml:space="preserve"> market, PPIs dominate the drug class segment, commanding the largest market share due to their efficacy in providing long-term relief from acid reflux and promoting healing of the </w:t>
      </w:r>
      <w:proofErr w:type="spellStart"/>
      <w:r>
        <w:rPr>
          <w:rFonts w:ascii="Libre Franklin" w:eastAsia="Libre Franklin" w:hAnsi="Libre Franklin" w:cs="Libre Franklin"/>
          <w:color w:val="002060"/>
          <w:sz w:val="24"/>
          <w:szCs w:val="24"/>
        </w:rPr>
        <w:t>esopha</w:t>
      </w:r>
      <w:r>
        <w:rPr>
          <w:rFonts w:ascii="Libre Franklin" w:eastAsia="Libre Franklin" w:hAnsi="Libre Franklin" w:cs="Libre Franklin"/>
          <w:color w:val="002060"/>
          <w:sz w:val="24"/>
          <w:szCs w:val="24"/>
        </w:rPr>
        <w:t>gus</w:t>
      </w:r>
      <w:proofErr w:type="spellEnd"/>
      <w:r>
        <w:rPr>
          <w:rFonts w:ascii="Libre Franklin" w:eastAsia="Libre Franklin" w:hAnsi="Libre Franklin" w:cs="Libre Franklin"/>
          <w:color w:val="002060"/>
          <w:sz w:val="24"/>
          <w:szCs w:val="24"/>
        </w:rPr>
        <w:t>. H2 Receptor Antagonists hold a smaller but still substantial share, as they are commonly used for milder forms of GERD or in patients who cannot tolerate PPIs. Antacids, while offering immediate symptom relief, occupy a significant share in the OTC ma</w:t>
      </w:r>
      <w:r>
        <w:rPr>
          <w:rFonts w:ascii="Libre Franklin" w:eastAsia="Libre Franklin" w:hAnsi="Libre Franklin" w:cs="Libre Franklin"/>
          <w:color w:val="002060"/>
          <w:sz w:val="24"/>
          <w:szCs w:val="24"/>
        </w:rPr>
        <w:t xml:space="preserve">rket, particularly for patients seeking quick, temporary relief. </w:t>
      </w:r>
      <w:proofErr w:type="spellStart"/>
      <w:r>
        <w:rPr>
          <w:rFonts w:ascii="Libre Franklin" w:eastAsia="Libre Franklin" w:hAnsi="Libre Franklin" w:cs="Libre Franklin"/>
          <w:color w:val="002060"/>
          <w:sz w:val="24"/>
          <w:szCs w:val="24"/>
        </w:rPr>
        <w:t>Prokinetic</w:t>
      </w:r>
      <w:proofErr w:type="spellEnd"/>
      <w:r>
        <w:rPr>
          <w:rFonts w:ascii="Libre Franklin" w:eastAsia="Libre Franklin" w:hAnsi="Libre Franklin" w:cs="Libre Franklin"/>
          <w:color w:val="002060"/>
          <w:sz w:val="24"/>
          <w:szCs w:val="24"/>
        </w:rPr>
        <w:t xml:space="preserve"> Agents and Alginate-Based Therapies together make up a growing segment of the market, driven by their ability to enhance gastric motility and create physical barriers to acid reflu</w:t>
      </w:r>
      <w:r>
        <w:rPr>
          <w:rFonts w:ascii="Libre Franklin" w:eastAsia="Libre Franklin" w:hAnsi="Libre Franklin" w:cs="Libre Franklin"/>
          <w:color w:val="002060"/>
          <w:sz w:val="24"/>
          <w:szCs w:val="24"/>
        </w:rPr>
        <w:t>x, respectively.</w:t>
      </w:r>
    </w:p>
    <w:p w:rsidR="00816C03" w:rsidRDefault="00816C03">
      <w:pPr>
        <w:spacing w:line="360" w:lineRule="auto"/>
        <w:jc w:val="both"/>
        <w:rPr>
          <w:rFonts w:ascii="Libre Franklin" w:eastAsia="Libre Franklin" w:hAnsi="Libre Franklin" w:cs="Libre Franklin"/>
          <w:b/>
          <w:color w:val="002060"/>
          <w:sz w:val="24"/>
          <w:szCs w:val="24"/>
        </w:rPr>
      </w:pP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Gastroesophageal Reflux Disease Therapeutics Market, By Treatment Type</w:t>
      </w:r>
    </w:p>
    <w:p w:rsidR="00816C03" w:rsidRDefault="00E92033">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Pharmaceuticals</w:t>
      </w:r>
    </w:p>
    <w:p w:rsidR="00816C03" w:rsidRDefault="00E92033">
      <w:pPr>
        <w:numPr>
          <w:ilvl w:val="0"/>
          <w:numId w:val="6"/>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Surgical &amp; Minimally Invasive Procedures</w:t>
      </w:r>
    </w:p>
    <w:p w:rsidR="00816C03" w:rsidRDefault="00E92033">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-746759</wp:posOffset>
            </wp:positionH>
            <wp:positionV relativeFrom="page">
              <wp:posOffset>-720724</wp:posOffset>
            </wp:positionV>
            <wp:extent cx="10220215" cy="14454202"/>
            <wp:effectExtent l="0" t="0" r="0" b="0"/>
            <wp:wrapNone/>
            <wp:docPr id="21355128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In the U.S. Gastroesophageal Reflux Disease therapeutics market, pharmaceuticals represent the largest segment, driven by widespread use of over-the-counter and prescription medications like PPIs, H2 receptor antagonists, and antacids, which are the first </w:t>
      </w:r>
      <w:r>
        <w:rPr>
          <w:rFonts w:ascii="Libre Franklin" w:eastAsia="Libre Franklin" w:hAnsi="Libre Franklin" w:cs="Libre Franklin"/>
          <w:color w:val="002060"/>
          <w:sz w:val="24"/>
          <w:szCs w:val="24"/>
        </w:rPr>
        <w:t xml:space="preserve">line of treatment for most GERD patients. However, the surgical and minimally invasive procedures segment is experiencing </w:t>
      </w:r>
      <w:r>
        <w:rPr>
          <w:rFonts w:ascii="Libre Franklin" w:eastAsia="Libre Franklin" w:hAnsi="Libre Franklin" w:cs="Libre Franklin"/>
          <w:color w:val="002060"/>
          <w:sz w:val="24"/>
          <w:szCs w:val="24"/>
        </w:rPr>
        <w:lastRenderedPageBreak/>
        <w:t xml:space="preserve">significant growth, spurred by advancements in techniques such as </w:t>
      </w:r>
      <w:proofErr w:type="spellStart"/>
      <w:r>
        <w:rPr>
          <w:rFonts w:ascii="Libre Franklin" w:eastAsia="Libre Franklin" w:hAnsi="Libre Franklin" w:cs="Libre Franklin"/>
          <w:color w:val="002060"/>
          <w:sz w:val="24"/>
          <w:szCs w:val="24"/>
        </w:rPr>
        <w:t>Nissen</w:t>
      </w:r>
      <w:proofErr w:type="spellEnd"/>
      <w:r>
        <w:rPr>
          <w:rFonts w:ascii="Libre Franklin" w:eastAsia="Libre Franklin" w:hAnsi="Libre Franklin" w:cs="Libre Franklin"/>
          <w:color w:val="002060"/>
          <w:sz w:val="24"/>
          <w:szCs w:val="24"/>
        </w:rPr>
        <w:t xml:space="preserve"> fundoplication, LINX device implantation, and TIF. The shift </w:t>
      </w:r>
      <w:r>
        <w:rPr>
          <w:rFonts w:ascii="Libre Franklin" w:eastAsia="Libre Franklin" w:hAnsi="Libre Franklin" w:cs="Libre Franklin"/>
          <w:color w:val="002060"/>
          <w:sz w:val="24"/>
          <w:szCs w:val="24"/>
        </w:rPr>
        <w:t>towards minimally invasive treatments, which promise reduced recovery times and fewer complications compared to traditional surgeries, is further enhancing the market's expansion.</w:t>
      </w:r>
    </w:p>
    <w:p w:rsidR="00816C03" w:rsidRDefault="00816C03">
      <w:pPr>
        <w:spacing w:line="360" w:lineRule="auto"/>
        <w:jc w:val="both"/>
        <w:rPr>
          <w:rFonts w:ascii="Libre Franklin" w:eastAsia="Libre Franklin" w:hAnsi="Libre Franklin" w:cs="Libre Franklin"/>
          <w:b/>
          <w:color w:val="002060"/>
          <w:sz w:val="24"/>
          <w:szCs w:val="24"/>
        </w:rPr>
      </w:pP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Gastroesophageal Reflux Disease Therapeutics Market, By End-User</w:t>
      </w:r>
    </w:p>
    <w:p w:rsidR="00816C03" w:rsidRDefault="00E92033">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w:t>
      </w:r>
      <w:r>
        <w:rPr>
          <w:rFonts w:ascii="Libre Franklin" w:eastAsia="Libre Franklin" w:hAnsi="Libre Franklin" w:cs="Libre Franklin"/>
          <w:b/>
          <w:color w:val="002060"/>
          <w:sz w:val="24"/>
          <w:szCs w:val="24"/>
        </w:rPr>
        <w:t>tals</w:t>
      </w:r>
    </w:p>
    <w:p w:rsidR="00816C03" w:rsidRDefault="00E92033">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Outpatient Clinics</w:t>
      </w:r>
    </w:p>
    <w:p w:rsidR="00816C03" w:rsidRDefault="00E92033">
      <w:pPr>
        <w:numPr>
          <w:ilvl w:val="0"/>
          <w:numId w:val="7"/>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Home Care Settings</w:t>
      </w:r>
    </w:p>
    <w:p w:rsidR="00816C03" w:rsidRDefault="00E92033">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Gastroesophageal Reflux Disease therapeutics market, segmented by end-user, reveals a dynamic landscape driven by the diverse healthcare settings where treatment is delivered. Hospitals continue to domina</w:t>
      </w:r>
      <w:r>
        <w:rPr>
          <w:rFonts w:ascii="Libre Franklin" w:eastAsia="Libre Franklin" w:hAnsi="Libre Franklin" w:cs="Libre Franklin"/>
          <w:color w:val="002060"/>
          <w:sz w:val="24"/>
          <w:szCs w:val="24"/>
        </w:rPr>
        <w:t>te the market due to the need for specialized care in severe GERD cases, where advanced diagnostics and surgical interventions are often required. However, the outpatient clinic segment is growing rapidly as more patients seek non-invasive treatments and l</w:t>
      </w:r>
      <w:r>
        <w:rPr>
          <w:rFonts w:ascii="Libre Franklin" w:eastAsia="Libre Franklin" w:hAnsi="Libre Franklin" w:cs="Libre Franklin"/>
          <w:color w:val="002060"/>
          <w:sz w:val="24"/>
          <w:szCs w:val="24"/>
        </w:rPr>
        <w:t xml:space="preserve">ong-term management options outside of hospital settings, benefiting from an increase in minimally invasive procedures and pharmaceutical therapies. Additionally, the home care settings segment is expanding,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the increasing availability of OTC med</w:t>
      </w:r>
      <w:r>
        <w:rPr>
          <w:rFonts w:ascii="Libre Franklin" w:eastAsia="Libre Franklin" w:hAnsi="Libre Franklin" w:cs="Libre Franklin"/>
          <w:color w:val="002060"/>
          <w:sz w:val="24"/>
          <w:szCs w:val="24"/>
        </w:rPr>
        <w:t>ications, as well as the growing trend of patients managing mild to moderate GERD symptoms at home through lifestyle changes and pharmaceutical interventions.</w:t>
      </w:r>
    </w:p>
    <w:p w:rsidR="00816C03" w:rsidRDefault="00816C03">
      <w:pPr>
        <w:spacing w:line="360" w:lineRule="auto"/>
        <w:jc w:val="both"/>
        <w:rPr>
          <w:rFonts w:ascii="Libre Franklin" w:eastAsia="Libre Franklin" w:hAnsi="Libre Franklin" w:cs="Libre Franklin"/>
          <w:b/>
          <w:color w:val="002060"/>
          <w:sz w:val="24"/>
          <w:szCs w:val="24"/>
        </w:rPr>
      </w:pP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816C03" w:rsidRDefault="00E92033">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Gastroesophageal Reflux Disease therapeutics market</w:t>
      </w:r>
      <w:r>
        <w:rPr>
          <w:rFonts w:ascii="Libre Franklin" w:eastAsia="Libre Franklin" w:hAnsi="Libre Franklin" w:cs="Libre Franklin"/>
          <w:color w:val="1F3864"/>
          <w:sz w:val="24"/>
          <w:szCs w:val="24"/>
        </w:rPr>
        <w:t xml:space="preserve"> </w:t>
      </w:r>
      <w:proofErr w:type="gramStart"/>
      <w:r>
        <w:rPr>
          <w:rFonts w:ascii="Libre Franklin" w:eastAsia="Libre Franklin" w:hAnsi="Libre Franklin" w:cs="Libre Franklin"/>
          <w:color w:val="1F3864"/>
          <w:sz w:val="24"/>
          <w:szCs w:val="24"/>
        </w:rPr>
        <w:t>" study</w:t>
      </w:r>
      <w:proofErr w:type="gramEnd"/>
      <w:r>
        <w:rPr>
          <w:rFonts w:ascii="Libre Franklin" w:eastAsia="Libre Franklin" w:hAnsi="Libre Franklin" w:cs="Libre Franklin"/>
          <w:color w:val="1F3864"/>
          <w:sz w:val="24"/>
          <w:szCs w:val="24"/>
        </w:rPr>
        <w:t xml:space="preserve"> report will provide valuable insight emphasizing the U.S. market. The major players in the market AstraZeneca, Pfizer, Johnson &amp; Johnson, Bristol-Myers Squibb, GlaxoSmithKline, Novartis, Sanofi, AbbVie, Merck &amp; Co., Eli Lilly and Company, </w:t>
      </w:r>
      <w:r>
        <w:rPr>
          <w:rFonts w:ascii="Libre Franklin" w:eastAsia="Libre Franklin" w:hAnsi="Libre Franklin" w:cs="Libre Franklin"/>
          <w:color w:val="1F3864"/>
          <w:sz w:val="24"/>
          <w:szCs w:val="24"/>
        </w:rPr>
        <w:lastRenderedPageBreak/>
        <w:t>Mylan Ph</w:t>
      </w:r>
      <w:r>
        <w:rPr>
          <w:rFonts w:ascii="Libre Franklin" w:eastAsia="Libre Franklin" w:hAnsi="Libre Franklin" w:cs="Libre Franklin"/>
          <w:color w:val="1F3864"/>
          <w:sz w:val="24"/>
          <w:szCs w:val="24"/>
        </w:rPr>
        <w:t xml:space="preserve">armaceuticals, </w:t>
      </w:r>
      <w:proofErr w:type="spellStart"/>
      <w:r>
        <w:rPr>
          <w:rFonts w:ascii="Libre Franklin" w:eastAsia="Libre Franklin" w:hAnsi="Libre Franklin" w:cs="Libre Franklin"/>
          <w:color w:val="1F3864"/>
          <w:sz w:val="24"/>
          <w:szCs w:val="24"/>
        </w:rPr>
        <w:t>Hikma</w:t>
      </w:r>
      <w:proofErr w:type="spellEnd"/>
      <w:r>
        <w:rPr>
          <w:rFonts w:ascii="Libre Franklin" w:eastAsia="Libre Franklin" w:hAnsi="Libre Franklin" w:cs="Libre Franklin"/>
          <w:color w:val="1F3864"/>
          <w:sz w:val="24"/>
          <w:szCs w:val="24"/>
        </w:rPr>
        <w:t xml:space="preserve"> </w:t>
      </w: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-914399</wp:posOffset>
            </wp:positionH>
            <wp:positionV relativeFrom="page">
              <wp:align>top</wp:align>
            </wp:positionV>
            <wp:extent cx="10220215" cy="14454202"/>
            <wp:effectExtent l="0" t="0" r="0" b="0"/>
            <wp:wrapNone/>
            <wp:docPr id="21355128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Pharmaceuticals, Bayer, Amgen, Endo International, Bausch Health Companies, Medtronic, Abbott Laboratories among others. Our market analysis also entails a section solely dedicated to such major players wherein our analysts provide an</w:t>
      </w:r>
      <w:r>
        <w:rPr>
          <w:rFonts w:ascii="Libre Franklin" w:eastAsia="Libre Franklin" w:hAnsi="Libre Franklin" w:cs="Libre Franklin"/>
          <w:color w:val="1F3864"/>
          <w:sz w:val="24"/>
          <w:szCs w:val="24"/>
        </w:rPr>
        <w:t xml:space="preserve"> insight into the financial statements of all the major players, along with product benchmarking and SWOT analysis.</w:t>
      </w:r>
      <w:r>
        <w:rPr>
          <w:rFonts w:ascii="Libre Franklin" w:eastAsia="Libre Franklin" w:hAnsi="Libre Franklin" w:cs="Libre Franklin"/>
        </w:rPr>
        <w:t xml:space="preserve"> </w:t>
      </w:r>
    </w:p>
    <w:p w:rsidR="00816C03" w:rsidRDefault="00816C03">
      <w:pPr>
        <w:spacing w:line="360" w:lineRule="auto"/>
        <w:jc w:val="both"/>
        <w:rPr>
          <w:rFonts w:ascii="Libre Franklin" w:eastAsia="Libre Franklin" w:hAnsi="Libre Franklin" w:cs="Libre Franklin"/>
          <w:b/>
          <w:color w:val="1F3864"/>
          <w:sz w:val="24"/>
          <w:szCs w:val="24"/>
        </w:rPr>
      </w:pPr>
    </w:p>
    <w:p w:rsidR="00816C03" w:rsidRDefault="00E92033">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816C03" w:rsidRDefault="00E92033">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Voquezna</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Vonoprazan</w:t>
      </w:r>
      <w:proofErr w:type="spellEnd"/>
      <w:r>
        <w:rPr>
          <w:rFonts w:ascii="Libre Franklin" w:eastAsia="Libre Franklin" w:hAnsi="Libre Franklin" w:cs="Libre Franklin"/>
          <w:color w:val="1F3864"/>
          <w:sz w:val="24"/>
          <w:szCs w:val="24"/>
        </w:rPr>
        <w:t xml:space="preserve">) was approved by the FDA for treating heartburn in adults with non-erosive GERD. This approval was based on the results from the Phase 3 PHALCON-NERD-301 study, which showed that </w:t>
      </w:r>
      <w:proofErr w:type="spellStart"/>
      <w:r>
        <w:rPr>
          <w:rFonts w:ascii="Libre Franklin" w:eastAsia="Libre Franklin" w:hAnsi="Libre Franklin" w:cs="Libre Franklin"/>
          <w:color w:val="1F3864"/>
          <w:sz w:val="24"/>
          <w:szCs w:val="24"/>
        </w:rPr>
        <w:t>vonoprazan</w:t>
      </w:r>
      <w:proofErr w:type="spellEnd"/>
      <w:r>
        <w:rPr>
          <w:rFonts w:ascii="Libre Franklin" w:eastAsia="Libre Franklin" w:hAnsi="Libre Franklin" w:cs="Libre Franklin"/>
          <w:color w:val="1F3864"/>
          <w:sz w:val="24"/>
          <w:szCs w:val="24"/>
        </w:rPr>
        <w:t xml:space="preserve">, when taken daily, is both safe and </w:t>
      </w:r>
      <w:r>
        <w:rPr>
          <w:rFonts w:ascii="Libre Franklin" w:eastAsia="Libre Franklin" w:hAnsi="Libre Franklin" w:cs="Libre Franklin"/>
          <w:color w:val="1F3864"/>
          <w:sz w:val="24"/>
          <w:szCs w:val="24"/>
        </w:rPr>
        <w:t>effective for managing symptoms in these patients.</w:t>
      </w:r>
    </w:p>
    <w:p w:rsidR="00816C03" w:rsidRDefault="00816C03">
      <w:pPr>
        <w:pBdr>
          <w:top w:val="nil"/>
          <w:left w:val="nil"/>
          <w:bottom w:val="nil"/>
          <w:right w:val="nil"/>
          <w:between w:val="nil"/>
        </w:pBdr>
        <w:spacing w:after="0" w:line="360" w:lineRule="auto"/>
        <w:ind w:left="720"/>
        <w:jc w:val="both"/>
        <w:rPr>
          <w:rFonts w:ascii="Libre Franklin" w:eastAsia="Libre Franklin" w:hAnsi="Libre Franklin" w:cs="Libre Franklin"/>
          <w:color w:val="1F3864"/>
          <w:sz w:val="24"/>
          <w:szCs w:val="24"/>
        </w:rPr>
      </w:pPr>
    </w:p>
    <w:p w:rsidR="00816C03" w:rsidRDefault="00E92033">
      <w:pPr>
        <w:numPr>
          <w:ilvl w:val="0"/>
          <w:numId w:val="3"/>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Implantica</w:t>
      </w:r>
      <w:proofErr w:type="spellEnd"/>
      <w:r>
        <w:rPr>
          <w:rFonts w:ascii="Libre Franklin" w:eastAsia="Libre Franklin" w:hAnsi="Libre Franklin" w:cs="Libre Franklin"/>
          <w:color w:val="1F3864"/>
          <w:sz w:val="24"/>
          <w:szCs w:val="24"/>
        </w:rPr>
        <w:t xml:space="preserve"> AG is progressing its innovative anti-reflux device, </w:t>
      </w:r>
      <w:proofErr w:type="spellStart"/>
      <w:r>
        <w:rPr>
          <w:rFonts w:ascii="Libre Franklin" w:eastAsia="Libre Franklin" w:hAnsi="Libre Franklin" w:cs="Libre Franklin"/>
          <w:color w:val="1F3864"/>
          <w:sz w:val="24"/>
          <w:szCs w:val="24"/>
        </w:rPr>
        <w:t>RefluxStop</w:t>
      </w:r>
      <w:proofErr w:type="spellEnd"/>
      <w:r>
        <w:rPr>
          <w:color w:val="000000"/>
        </w:rPr>
        <w:t xml:space="preserve"> </w:t>
      </w:r>
      <w:sdt>
        <w:sdtPr>
          <w:tag w:val="goog_rdk_0"/>
          <w:id w:val="-1892498161"/>
        </w:sdtPr>
        <w:sdtEndPr/>
        <w:sdtContent>
          <w:r>
            <w:rPr>
              <w:rFonts w:ascii="Nova Mono" w:eastAsia="Nova Mono" w:hAnsi="Nova Mono" w:cs="Nova Mono"/>
              <w:color w:val="1F3864"/>
              <w:sz w:val="24"/>
              <w:szCs w:val="24"/>
            </w:rPr>
            <w:t xml:space="preserve">™, through the U.S. FDA's Premarket Approval (PMA) process. The company has submitted a three-part application, and the </w:t>
          </w:r>
          <w:r>
            <w:rPr>
              <w:rFonts w:ascii="Nova Mono" w:eastAsia="Nova Mono" w:hAnsi="Nova Mono" w:cs="Nova Mono"/>
              <w:color w:val="1F3864"/>
              <w:sz w:val="24"/>
              <w:szCs w:val="24"/>
            </w:rPr>
            <w:t xml:space="preserve">FDA has already accepted and closed the first part, which covers quality systems and manufacturing details. It is designed to restore the body’s natural </w:t>
          </w:r>
          <w:proofErr w:type="spellStart"/>
          <w:r>
            <w:rPr>
              <w:rFonts w:ascii="Nova Mono" w:eastAsia="Nova Mono" w:hAnsi="Nova Mono" w:cs="Nova Mono"/>
              <w:color w:val="1F3864"/>
              <w:sz w:val="24"/>
              <w:szCs w:val="24"/>
            </w:rPr>
            <w:t>defense</w:t>
          </w:r>
          <w:proofErr w:type="spellEnd"/>
          <w:r>
            <w:rPr>
              <w:rFonts w:ascii="Nova Mono" w:eastAsia="Nova Mono" w:hAnsi="Nova Mono" w:cs="Nova Mono"/>
              <w:color w:val="1F3864"/>
              <w:sz w:val="24"/>
              <w:szCs w:val="24"/>
            </w:rPr>
            <w:t xml:space="preserve"> against acid reflux, providing a new treatment option for people with GERD.</w:t>
          </w:r>
        </w:sdtContent>
      </w:sdt>
    </w:p>
    <w:p w:rsidR="00816C03" w:rsidRDefault="00816C03">
      <w:pPr>
        <w:spacing w:line="360" w:lineRule="auto"/>
        <w:jc w:val="both"/>
        <w:rPr>
          <w:rFonts w:ascii="Libre Franklin" w:eastAsia="Libre Franklin" w:hAnsi="Libre Franklin" w:cs="Libre Franklin"/>
          <w:b/>
          <w:color w:val="1F3864"/>
          <w:sz w:val="24"/>
          <w:szCs w:val="24"/>
        </w:rPr>
      </w:pP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816C03" w:rsidRDefault="00E92033">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Gastroesophageal Reflux Disease therapeutics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816C03" w:rsidRDefault="00816C03">
      <w:pPr>
        <w:spacing w:before="240"/>
        <w:jc w:val="both"/>
        <w:rPr>
          <w:rFonts w:ascii="Libre Franklin" w:eastAsia="Libre Franklin" w:hAnsi="Libre Franklin" w:cs="Libre Franklin"/>
          <w:b/>
          <w:color w:val="1F3864"/>
          <w:sz w:val="24"/>
          <w:szCs w:val="24"/>
        </w:rPr>
      </w:pPr>
    </w:p>
    <w:p w:rsidR="00816C03" w:rsidRDefault="00E92033">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lastRenderedPageBreak/>
        <w:t>Porter’s Five Forces</w:t>
      </w:r>
    </w:p>
    <w:p w:rsidR="00816C03" w:rsidRDefault="00E92033">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w:t>
      </w:r>
      <w:r>
        <w:rPr>
          <w:rFonts w:ascii="Libre Franklin" w:eastAsia="Libre Franklin" w:hAnsi="Libre Franklin" w:cs="Libre Franklin"/>
          <w:color w:val="1F3864"/>
          <w:sz w:val="24"/>
          <w:szCs w:val="24"/>
        </w:rPr>
        <w:t>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can be used to assess the competitive landscape </w:t>
      </w:r>
      <w:r>
        <w:rPr>
          <w:rFonts w:ascii="Libre Franklin" w:eastAsia="Libre Franklin" w:hAnsi="Libre Franklin" w:cs="Libre Franklin"/>
          <w:color w:val="002060"/>
          <w:sz w:val="24"/>
          <w:szCs w:val="24"/>
        </w:rPr>
        <w:t xml:space="preserve">U.S. Gastroesophageal Reflux Disease </w:t>
      </w: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-670559</wp:posOffset>
            </wp:positionH>
            <wp:positionV relativeFrom="page">
              <wp:posOffset>-1456689</wp:posOffset>
            </wp:positionV>
            <wp:extent cx="10220215" cy="14454202"/>
            <wp:effectExtent l="0" t="0" r="0" b="0"/>
            <wp:wrapNone/>
            <wp:docPr id="213551283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therapeutics market,</w:t>
      </w:r>
      <w:r>
        <w:rPr>
          <w:rFonts w:ascii="Libre Franklin" w:eastAsia="Libre Franklin" w:hAnsi="Libre Franklin" w:cs="Libre Franklin"/>
          <w:color w:val="1F3864"/>
          <w:sz w:val="24"/>
          <w:szCs w:val="24"/>
        </w:rPr>
        <w:t xml:space="preserve"> gauge the attractiveness of a particular</w:t>
      </w:r>
      <w:r>
        <w:rPr>
          <w:rFonts w:ascii="Libre Franklin" w:eastAsia="Libre Franklin" w:hAnsi="Libre Franklin" w:cs="Libre Franklin"/>
          <w:color w:val="1F3864"/>
          <w:sz w:val="24"/>
          <w:szCs w:val="24"/>
        </w:rPr>
        <w:t xml:space="preserve"> sector, and assess investment possibilities.</w:t>
      </w: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816C03">
      <w:pPr>
        <w:spacing w:before="240" w:line="360" w:lineRule="auto"/>
        <w:jc w:val="both"/>
        <w:rPr>
          <w:rFonts w:ascii="Times New Roman" w:eastAsia="Times New Roman" w:hAnsi="Times New Roman" w:cs="Times New Roman"/>
          <w:color w:val="1F3864"/>
          <w:sz w:val="40"/>
          <w:szCs w:val="40"/>
        </w:rPr>
      </w:pPr>
    </w:p>
    <w:p w:rsidR="00816C03" w:rsidRDefault="00E92033">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4384" behindDoc="1" locked="0" layoutInCell="1" hidden="0" allowOverlap="1">
            <wp:simplePos x="0" y="0"/>
            <wp:positionH relativeFrom="page">
              <wp:posOffset>-1173479</wp:posOffset>
            </wp:positionH>
            <wp:positionV relativeFrom="page">
              <wp:posOffset>-845184</wp:posOffset>
            </wp:positionV>
            <wp:extent cx="10220215" cy="14454202"/>
            <wp:effectExtent l="0" t="0" r="0" b="0"/>
            <wp:wrapNone/>
            <wp:docPr id="213551283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816C03" w:rsidRDefault="00E92033">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INTRODUCTION OF</w:t>
      </w:r>
      <w:r>
        <w:rPr>
          <w:color w:val="000000"/>
        </w:rPr>
        <w:t xml:space="preserve"> </w:t>
      </w:r>
      <w:r>
        <w:rPr>
          <w:rFonts w:ascii="Libre Franklin" w:eastAsia="Libre Franklin" w:hAnsi="Libre Franklin" w:cs="Libre Franklin"/>
          <w:b/>
          <w:color w:val="1F3864"/>
          <w:sz w:val="24"/>
          <w:szCs w:val="24"/>
        </w:rPr>
        <w:t>U.S. GASTROESOPHAGEAL REFLUX DISEASE THERAPEUTICS MARKET</w:t>
      </w:r>
    </w:p>
    <w:p w:rsidR="00816C03" w:rsidRDefault="00816C03">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816C03" w:rsidRDefault="00E92033">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816C03" w:rsidRDefault="00E92033">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816C03" w:rsidRDefault="00E92033">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816C03" w:rsidRDefault="00E92033">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816C03" w:rsidRDefault="00E92033">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816C03" w:rsidRDefault="00E92033">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816C03" w:rsidRDefault="00E92033">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816C03" w:rsidRDefault="00E92033">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816C03" w:rsidRDefault="00E92033">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816C03" w:rsidRDefault="00E92033">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GASTROESOPHAGEAL REFLUX DISEASE THERAPEUTICS MARKET</w:t>
      </w:r>
      <w:r>
        <w:rPr>
          <w:rFonts w:ascii="Libre Franklin" w:eastAsia="Libre Franklin" w:hAnsi="Libre Franklin" w:cs="Libre Franklin"/>
          <w:b/>
          <w:color w:val="002060"/>
          <w:sz w:val="24"/>
          <w:szCs w:val="24"/>
        </w:rPr>
        <w:t xml:space="preserve"> OUTLOOK</w:t>
      </w:r>
    </w:p>
    <w:p w:rsidR="00816C03" w:rsidRDefault="00816C03">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816C03" w:rsidRDefault="00E92033">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816C03" w:rsidRDefault="00E92033">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816C03" w:rsidRDefault="00E92033">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816C03" w:rsidRDefault="00E92033">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816C03" w:rsidRDefault="00E92033">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816C03" w:rsidRDefault="00E92033">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Trends</w:t>
      </w:r>
    </w:p>
    <w:p w:rsidR="00816C03" w:rsidRDefault="00E92033">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816C03" w:rsidRDefault="00E92033">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816C03" w:rsidRDefault="00816C03">
      <w:pPr>
        <w:spacing w:line="360" w:lineRule="auto"/>
        <w:rPr>
          <w:rFonts w:ascii="Libre Franklin" w:eastAsia="Libre Franklin" w:hAnsi="Libre Franklin" w:cs="Libre Franklin"/>
          <w:b/>
          <w:color w:val="002060"/>
          <w:sz w:val="24"/>
          <w:szCs w:val="24"/>
        </w:rPr>
      </w:pPr>
    </w:p>
    <w:p w:rsidR="00816C03" w:rsidRDefault="00E92033">
      <w:pPr>
        <w:spacing w:line="360" w:lineRule="auto"/>
        <w:rPr>
          <w:rFonts w:ascii="Libre Franklin" w:eastAsia="Libre Franklin" w:hAnsi="Libre Franklin" w:cs="Libre Franklin"/>
          <w:b/>
          <w:color w:val="1F3864"/>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1F3864"/>
          <w:sz w:val="24"/>
          <w:szCs w:val="24"/>
        </w:rPr>
        <w:t>U.S. GASTROESOPHAGEAL REFLUX DISEASE THERAPEUTICS MARKET, BY DRUG CLASS</w:t>
      </w:r>
    </w:p>
    <w:p w:rsidR="00816C03" w:rsidRDefault="00E92033">
      <w:pPr>
        <w:spacing w:line="360" w:lineRule="auto"/>
        <w:rPr>
          <w:rFonts w:ascii="Libre Franklin" w:eastAsia="Libre Franklin" w:hAnsi="Libre Franklin" w:cs="Libre Franklin"/>
          <w:b/>
          <w:color w:val="1F3864"/>
          <w:sz w:val="24"/>
          <w:szCs w:val="24"/>
        </w:rPr>
      </w:pPr>
      <w:r>
        <w:rPr>
          <w:rFonts w:ascii="Libre Franklin" w:eastAsia="Libre Franklin" w:hAnsi="Libre Franklin" w:cs="Libre Franklin"/>
          <w:noProof/>
        </w:rPr>
        <w:drawing>
          <wp:anchor distT="0" distB="0" distL="0" distR="0" simplePos="0" relativeHeight="251665408" behindDoc="1" locked="0" layoutInCell="1" hidden="0" allowOverlap="1">
            <wp:simplePos x="0" y="0"/>
            <wp:positionH relativeFrom="page">
              <wp:posOffset>-1188719</wp:posOffset>
            </wp:positionH>
            <wp:positionV relativeFrom="page">
              <wp:posOffset>-1711959</wp:posOffset>
            </wp:positionV>
            <wp:extent cx="10220215" cy="14454202"/>
            <wp:effectExtent l="0" t="0" r="0" b="0"/>
            <wp:wrapNone/>
            <wp:docPr id="213551283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002060"/>
          <w:sz w:val="24"/>
          <w:szCs w:val="24"/>
        </w:rPr>
        <w:t xml:space="preserve">5.1 Overview </w:t>
      </w:r>
    </w:p>
    <w:p w:rsidR="00816C03" w:rsidRDefault="00E92033">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5.2</w:t>
      </w:r>
      <w:r>
        <w:rPr>
          <w:color w:val="000000"/>
        </w:rPr>
        <w:t xml:space="preserve"> </w:t>
      </w:r>
      <w:r>
        <w:rPr>
          <w:rFonts w:ascii="Libre Franklin" w:eastAsia="Libre Franklin" w:hAnsi="Libre Franklin" w:cs="Libre Franklin"/>
          <w:color w:val="002060"/>
          <w:sz w:val="24"/>
          <w:szCs w:val="24"/>
        </w:rPr>
        <w:t>PPIs</w:t>
      </w:r>
    </w:p>
    <w:p w:rsidR="00816C03" w:rsidRDefault="00E92033">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5.3</w:t>
      </w:r>
      <w:r>
        <w:rPr>
          <w:color w:val="000000"/>
        </w:rPr>
        <w:t xml:space="preserve"> </w:t>
      </w:r>
      <w:r>
        <w:rPr>
          <w:rFonts w:ascii="Libre Franklin" w:eastAsia="Libre Franklin" w:hAnsi="Libre Franklin" w:cs="Libre Franklin"/>
          <w:color w:val="002060"/>
          <w:sz w:val="24"/>
          <w:szCs w:val="24"/>
        </w:rPr>
        <w:t>H2 Receptor Antagonists</w:t>
      </w:r>
    </w:p>
    <w:p w:rsidR="00816C03" w:rsidRDefault="00E92033">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5.4 Antacids</w:t>
      </w:r>
    </w:p>
    <w:p w:rsidR="00816C03" w:rsidRDefault="00E92033">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5.5</w:t>
      </w:r>
      <w:r>
        <w:rPr>
          <w:color w:val="000000"/>
        </w:rPr>
        <w:t xml:space="preserve"> </w:t>
      </w:r>
      <w:proofErr w:type="spellStart"/>
      <w:r>
        <w:rPr>
          <w:rFonts w:ascii="Libre Franklin" w:eastAsia="Libre Franklin" w:hAnsi="Libre Franklin" w:cs="Libre Franklin"/>
          <w:color w:val="002060"/>
          <w:sz w:val="24"/>
          <w:szCs w:val="24"/>
        </w:rPr>
        <w:t>Prokinetic</w:t>
      </w:r>
      <w:proofErr w:type="spellEnd"/>
      <w:r>
        <w:rPr>
          <w:rFonts w:ascii="Libre Franklin" w:eastAsia="Libre Franklin" w:hAnsi="Libre Franklin" w:cs="Libre Franklin"/>
          <w:color w:val="002060"/>
          <w:sz w:val="24"/>
          <w:szCs w:val="24"/>
        </w:rPr>
        <w:t xml:space="preserve"> Agents</w:t>
      </w:r>
    </w:p>
    <w:p w:rsidR="00816C03" w:rsidRDefault="00E92033">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5.6 Alginate-Based Therapies</w:t>
      </w:r>
    </w:p>
    <w:p w:rsidR="00816C03" w:rsidRDefault="00E92033">
      <w:pPr>
        <w:spacing w:line="360" w:lineRule="auto"/>
        <w:rPr>
          <w:rFonts w:ascii="Libre Franklin" w:eastAsia="Libre Franklin" w:hAnsi="Libre Franklin" w:cs="Libre Franklin"/>
          <w:color w:val="002060"/>
          <w:sz w:val="24"/>
          <w:szCs w:val="24"/>
        </w:rPr>
      </w:pPr>
      <w:r>
        <w:rPr>
          <w:rFonts w:ascii="Libre Franklin" w:eastAsia="Libre Franklin" w:hAnsi="Libre Franklin" w:cs="Libre Franklin"/>
          <w:b/>
          <w:color w:val="1F3864"/>
          <w:sz w:val="40"/>
          <w:szCs w:val="40"/>
        </w:rPr>
        <w:t>6</w:t>
      </w:r>
      <w:r>
        <w:rPr>
          <w:rFonts w:ascii="Libre Franklin" w:eastAsia="Libre Franklin" w:hAnsi="Libre Franklin" w:cs="Libre Franklin"/>
          <w:b/>
          <w:color w:val="1F3864"/>
          <w:sz w:val="24"/>
          <w:szCs w:val="24"/>
        </w:rPr>
        <w:t xml:space="preserve"> U.S. GASTROESOPHAGEAL REFLUX DISEASE THERAPEUTICS MARKET, BY TREATMENT TYPE</w:t>
      </w:r>
      <w:r>
        <w:rPr>
          <w:rFonts w:ascii="Libre Franklin" w:eastAsia="Libre Franklin" w:hAnsi="Libre Franklin" w:cs="Libre Franklin"/>
          <w:color w:val="002060"/>
          <w:sz w:val="24"/>
          <w:szCs w:val="24"/>
        </w:rPr>
        <w:t xml:space="preserve">          </w:t>
      </w:r>
    </w:p>
    <w:p w:rsidR="00816C03" w:rsidRDefault="00E92033">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816C03" w:rsidRDefault="00E92033">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Pharmaceuticals</w:t>
      </w:r>
    </w:p>
    <w:p w:rsidR="00816C03" w:rsidRDefault="00E92033">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Surgical &amp; Minimally Invasive Procedures</w:t>
      </w:r>
    </w:p>
    <w:p w:rsidR="00816C03" w:rsidRDefault="00E92033">
      <w:pPr>
        <w:numPr>
          <w:ilvl w:val="0"/>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GASTROESOPHAGEAL REFLUX DISEASE THERAPEUTICS MARKET</w:t>
      </w:r>
      <w:r>
        <w:rPr>
          <w:rFonts w:ascii="Libre Franklin" w:eastAsia="Libre Franklin" w:hAnsi="Libre Franklin" w:cs="Libre Franklin"/>
          <w:b/>
          <w:color w:val="002060"/>
          <w:sz w:val="24"/>
          <w:szCs w:val="24"/>
        </w:rPr>
        <w:t>, BY END USER</w:t>
      </w:r>
    </w:p>
    <w:p w:rsidR="00816C03" w:rsidRDefault="00E92033">
      <w:pPr>
        <w:numPr>
          <w:ilvl w:val="1"/>
          <w:numId w:val="2"/>
        </w:numPr>
        <w:pBdr>
          <w:top w:val="nil"/>
          <w:left w:val="nil"/>
          <w:bottom w:val="nil"/>
          <w:right w:val="nil"/>
          <w:between w:val="nil"/>
        </w:pBdr>
        <w:spacing w:after="0" w:line="60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816C03" w:rsidRDefault="00E92033">
      <w:pPr>
        <w:numPr>
          <w:ilvl w:val="1"/>
          <w:numId w:val="2"/>
        </w:numPr>
        <w:pBdr>
          <w:top w:val="nil"/>
          <w:left w:val="nil"/>
          <w:bottom w:val="nil"/>
          <w:right w:val="nil"/>
          <w:between w:val="nil"/>
        </w:pBdr>
        <w:spacing w:after="0" w:line="60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Hospitals</w:t>
      </w:r>
    </w:p>
    <w:p w:rsidR="00816C03" w:rsidRDefault="00E92033">
      <w:pPr>
        <w:numPr>
          <w:ilvl w:val="1"/>
          <w:numId w:val="2"/>
        </w:numPr>
        <w:pBdr>
          <w:top w:val="nil"/>
          <w:left w:val="nil"/>
          <w:bottom w:val="nil"/>
          <w:right w:val="nil"/>
          <w:between w:val="nil"/>
        </w:pBdr>
        <w:spacing w:after="0" w:line="60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 Outpatient Clinics</w:t>
      </w:r>
    </w:p>
    <w:p w:rsidR="00816C03" w:rsidRDefault="00E92033">
      <w:pPr>
        <w:numPr>
          <w:ilvl w:val="1"/>
          <w:numId w:val="2"/>
        </w:numPr>
        <w:pBdr>
          <w:top w:val="nil"/>
          <w:left w:val="nil"/>
          <w:bottom w:val="nil"/>
          <w:right w:val="nil"/>
          <w:between w:val="nil"/>
        </w:pBdr>
        <w:spacing w:line="60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Home Care Settings</w:t>
      </w:r>
    </w:p>
    <w:p w:rsidR="00816C03" w:rsidRDefault="00E92033">
      <w:pPr>
        <w:spacing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40"/>
          <w:szCs w:val="40"/>
        </w:rPr>
        <w:t>8</w:t>
      </w:r>
      <w:r>
        <w:rPr>
          <w:rFonts w:ascii="Libre Franklin" w:eastAsia="Libre Franklin" w:hAnsi="Libre Franklin" w:cs="Libre Franklin"/>
          <w:b/>
          <w:color w:val="1F3864"/>
          <w:sz w:val="24"/>
          <w:szCs w:val="24"/>
        </w:rPr>
        <w:t xml:space="preserve"> U.S. GASTROESOPHAGEAL REFLUX DISEASE THERAPEUTICS MARKET </w:t>
      </w:r>
      <w:r>
        <w:rPr>
          <w:rFonts w:ascii="Libre Franklin" w:eastAsia="Libre Franklin" w:hAnsi="Libre Franklin" w:cs="Libre Franklin"/>
          <w:b/>
          <w:color w:val="002060"/>
          <w:sz w:val="24"/>
          <w:szCs w:val="24"/>
        </w:rPr>
        <w:t>COMPETITIVE LANDSCAPE</w:t>
      </w:r>
    </w:p>
    <w:p w:rsidR="00816C03" w:rsidRDefault="00E92033">
      <w:pPr>
        <w:numPr>
          <w:ilvl w:val="1"/>
          <w:numId w:val="4"/>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816C03" w:rsidRDefault="00E92033">
      <w:pPr>
        <w:numPr>
          <w:ilvl w:val="1"/>
          <w:numId w:val="4"/>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816C03" w:rsidRDefault="00E92033">
      <w:pPr>
        <w:numPr>
          <w:ilvl w:val="1"/>
          <w:numId w:val="4"/>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-1935479</wp:posOffset>
            </wp:positionH>
            <wp:positionV relativeFrom="page">
              <wp:posOffset>-887093</wp:posOffset>
            </wp:positionV>
            <wp:extent cx="10220215" cy="14454202"/>
            <wp:effectExtent l="0" t="0" r="0" b="0"/>
            <wp:wrapNone/>
            <wp:docPr id="213551282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Key Developments Strategies</w:t>
      </w:r>
    </w:p>
    <w:p w:rsidR="00816C03" w:rsidRDefault="00E92033">
      <w:pPr>
        <w:numPr>
          <w:ilvl w:val="0"/>
          <w:numId w:val="4"/>
        </w:numPr>
        <w:pBdr>
          <w:top w:val="nil"/>
          <w:left w:val="nil"/>
          <w:bottom w:val="nil"/>
          <w:right w:val="nil"/>
          <w:between w:val="nil"/>
        </w:pBdr>
        <w:tabs>
          <w:tab w:val="left" w:pos="1134"/>
        </w:tabs>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816C03" w:rsidRDefault="00E92033">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9.1 </w:t>
      </w:r>
      <w:r>
        <w:rPr>
          <w:rFonts w:ascii="Libre Franklin" w:eastAsia="Libre Franklin" w:hAnsi="Libre Franklin" w:cs="Libre Franklin"/>
          <w:b/>
          <w:color w:val="1F3864"/>
          <w:sz w:val="24"/>
          <w:szCs w:val="24"/>
        </w:rPr>
        <w:t>AstraZeneca</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roduct</w:t>
      </w:r>
      <w:proofErr w:type="spellEnd"/>
      <w:r>
        <w:rPr>
          <w:rFonts w:ascii="Libre Franklin" w:eastAsia="Libre Franklin" w:hAnsi="Libre Franklin" w:cs="Libre Franklin"/>
          <w:color w:val="002060"/>
          <w:sz w:val="24"/>
          <w:szCs w:val="24"/>
        </w:rPr>
        <w:t xml:space="preserve">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Pfizer</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Johnson &amp; Johnson</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Product Outlook</w:t>
      </w:r>
    </w:p>
    <w:p w:rsidR="00816C03" w:rsidRDefault="00E92033">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Bristol-Myers Squibb</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GlaxoSmithKline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-2087879</wp:posOffset>
            </wp:positionH>
            <wp:positionV relativeFrom="page">
              <wp:posOffset>-863599</wp:posOffset>
            </wp:positionV>
            <wp:extent cx="10220215" cy="14454202"/>
            <wp:effectExtent l="0" t="0" r="0" b="0"/>
            <wp:wrapNone/>
            <wp:docPr id="213551283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Novartis</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Sanofi</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AbbVie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Merck &amp; Co.</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418"/>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Eli Lilly and Company</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-1920238</wp:posOffset>
            </wp:positionH>
            <wp:positionV relativeFrom="page">
              <wp:posOffset>-1112519</wp:posOffset>
            </wp:positionV>
            <wp:extent cx="10220215" cy="14454202"/>
            <wp:effectExtent l="0" t="0" r="0" b="0"/>
            <wp:wrapNone/>
            <wp:docPr id="21355128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418"/>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Mylan Pharmaceuticals</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418"/>
          <w:tab w:val="left" w:pos="1560"/>
          <w:tab w:val="left" w:pos="1701"/>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002060"/>
          <w:sz w:val="24"/>
          <w:szCs w:val="24"/>
        </w:rPr>
        <w:t>Hikma</w:t>
      </w:r>
      <w:proofErr w:type="spellEnd"/>
      <w:r>
        <w:rPr>
          <w:rFonts w:ascii="Libre Franklin" w:eastAsia="Libre Franklin" w:hAnsi="Libre Franklin" w:cs="Libre Franklin"/>
          <w:b/>
          <w:color w:val="002060"/>
          <w:sz w:val="24"/>
          <w:szCs w:val="24"/>
        </w:rPr>
        <w:t xml:space="preserve"> Pharmaceuticals</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Bayer</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418"/>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Amgen</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Endo International</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9504" behindDoc="1" locked="0" layoutInCell="1" hidden="0" allowOverlap="1">
            <wp:simplePos x="0" y="0"/>
            <wp:positionH relativeFrom="page">
              <wp:posOffset>-1722119</wp:posOffset>
            </wp:positionH>
            <wp:positionV relativeFrom="page">
              <wp:posOffset>-1142999</wp:posOffset>
            </wp:positionV>
            <wp:extent cx="10220215" cy="14454202"/>
            <wp:effectExtent l="0" t="0" r="0" b="0"/>
            <wp:wrapNone/>
            <wp:docPr id="213551283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418"/>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Bausch Health Companies</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1"/>
          <w:numId w:val="4"/>
        </w:numPr>
        <w:pBdr>
          <w:top w:val="nil"/>
          <w:left w:val="nil"/>
          <w:bottom w:val="nil"/>
          <w:right w:val="nil"/>
          <w:between w:val="nil"/>
        </w:pBdr>
        <w:tabs>
          <w:tab w:val="left" w:pos="1418"/>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Medtronic</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816C03" w:rsidRDefault="00E92033">
      <w:pPr>
        <w:numPr>
          <w:ilvl w:val="1"/>
          <w:numId w:val="4"/>
        </w:numPr>
        <w:pBdr>
          <w:top w:val="nil"/>
          <w:left w:val="nil"/>
          <w:bottom w:val="nil"/>
          <w:right w:val="nil"/>
          <w:between w:val="nil"/>
        </w:pBdr>
        <w:tabs>
          <w:tab w:val="left" w:pos="1560"/>
          <w:tab w:val="left" w:pos="2552"/>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Abbott Laboratories</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816C03" w:rsidRDefault="00E92033">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816C03" w:rsidRDefault="00E92033">
      <w:pPr>
        <w:numPr>
          <w:ilvl w:val="0"/>
          <w:numId w:val="4"/>
        </w:numPr>
        <w:pBdr>
          <w:top w:val="nil"/>
          <w:left w:val="nil"/>
          <w:bottom w:val="nil"/>
          <w:right w:val="nil"/>
          <w:between w:val="nil"/>
        </w:pBdr>
        <w:tabs>
          <w:tab w:val="left" w:pos="1134"/>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816C03" w:rsidRDefault="00E92033">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816C03" w:rsidRDefault="00E92033">
      <w:pPr>
        <w:numPr>
          <w:ilvl w:val="0"/>
          <w:numId w:val="4"/>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816C03" w:rsidRDefault="00E92033">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11.1 Related Research</w:t>
      </w:r>
    </w:p>
    <w:p w:rsidR="00816C03" w:rsidRDefault="00816C03"/>
    <w:p w:rsidR="00816C03" w:rsidRDefault="00816C03"/>
    <w:p w:rsidR="00816C03" w:rsidRDefault="00816C03"/>
    <w:p w:rsidR="00816C03" w:rsidRDefault="00816C03"/>
    <w:p w:rsidR="00816C03" w:rsidRDefault="00816C03"/>
    <w:p w:rsidR="00816C03" w:rsidRDefault="00816C03"/>
    <w:p w:rsidR="00816C03" w:rsidRDefault="00816C03"/>
    <w:p w:rsidR="00816C03" w:rsidRDefault="00816C03"/>
    <w:p w:rsidR="00816C03" w:rsidRDefault="00816C03"/>
    <w:p w:rsidR="00816C03" w:rsidRDefault="00816C03"/>
    <w:p w:rsidR="00816C03" w:rsidRDefault="00816C03"/>
    <w:p w:rsidR="00816C03" w:rsidRDefault="00816C03"/>
    <w:p w:rsidR="00816C03" w:rsidRDefault="00816C03"/>
    <w:sectPr w:rsidR="00816C0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Nova Mon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CEC"/>
    <w:multiLevelType w:val="multilevel"/>
    <w:tmpl w:val="34A63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7F4E5F"/>
    <w:multiLevelType w:val="multilevel"/>
    <w:tmpl w:val="BF78DD70"/>
    <w:lvl w:ilvl="0">
      <w:start w:val="7"/>
      <w:numFmt w:val="decimal"/>
      <w:lvlText w:val="%1"/>
      <w:lvlJc w:val="left"/>
      <w:pPr>
        <w:ind w:left="360" w:hanging="360"/>
      </w:pPr>
      <w:rPr>
        <w:b/>
        <w:sz w:val="40"/>
        <w:szCs w:val="40"/>
      </w:rPr>
    </w:lvl>
    <w:lvl w:ilvl="1">
      <w:start w:val="1"/>
      <w:numFmt w:val="decimal"/>
      <w:lvlText w:val="%1.%2"/>
      <w:lvlJc w:val="left"/>
      <w:pPr>
        <w:ind w:left="576" w:hanging="396"/>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2" w15:restartNumberingAfterBreak="0">
    <w:nsid w:val="361A4888"/>
    <w:multiLevelType w:val="multilevel"/>
    <w:tmpl w:val="9458920C"/>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3" w15:restartNumberingAfterBreak="0">
    <w:nsid w:val="53065569"/>
    <w:multiLevelType w:val="multilevel"/>
    <w:tmpl w:val="ABB034EE"/>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4" w15:restartNumberingAfterBreak="0">
    <w:nsid w:val="65931840"/>
    <w:multiLevelType w:val="multilevel"/>
    <w:tmpl w:val="0F04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A70C51"/>
    <w:multiLevelType w:val="multilevel"/>
    <w:tmpl w:val="4ECE9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087F0E"/>
    <w:multiLevelType w:val="multilevel"/>
    <w:tmpl w:val="37367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03"/>
    <w:rsid w:val="00816C03"/>
    <w:rsid w:val="00E92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B031"/>
  <w15:docId w15:val="{D9F821BC-2B29-43FA-AD45-2C202570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FD0"/>
  </w:style>
  <w:style w:type="paragraph" w:styleId="Heading1">
    <w:name w:val="heading 1"/>
    <w:basedOn w:val="Normal"/>
    <w:next w:val="Normal"/>
    <w:link w:val="Heading1Char"/>
    <w:uiPriority w:val="9"/>
    <w:qFormat/>
    <w:rsid w:val="00491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F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F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F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F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F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F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F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F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FD0"/>
    <w:rPr>
      <w:rFonts w:eastAsiaTheme="majorEastAsia" w:cstheme="majorBidi"/>
      <w:color w:val="272727" w:themeColor="text1" w:themeTint="D8"/>
    </w:rPr>
  </w:style>
  <w:style w:type="character" w:customStyle="1" w:styleId="TitleChar">
    <w:name w:val="Title Char"/>
    <w:basedOn w:val="DefaultParagraphFont"/>
    <w:link w:val="Title"/>
    <w:uiPriority w:val="10"/>
    <w:rsid w:val="00491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491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FD0"/>
    <w:pPr>
      <w:spacing w:before="160"/>
      <w:jc w:val="center"/>
    </w:pPr>
    <w:rPr>
      <w:i/>
      <w:iCs/>
      <w:color w:val="404040" w:themeColor="text1" w:themeTint="BF"/>
    </w:rPr>
  </w:style>
  <w:style w:type="character" w:customStyle="1" w:styleId="QuoteChar">
    <w:name w:val="Quote Char"/>
    <w:basedOn w:val="DefaultParagraphFont"/>
    <w:link w:val="Quote"/>
    <w:uiPriority w:val="29"/>
    <w:rsid w:val="00491FD0"/>
    <w:rPr>
      <w:i/>
      <w:iCs/>
      <w:color w:val="404040" w:themeColor="text1" w:themeTint="BF"/>
    </w:rPr>
  </w:style>
  <w:style w:type="paragraph" w:styleId="ListParagraph">
    <w:name w:val="List Paragraph"/>
    <w:aliases w:val="Lists,MnM Disclaimer,list 1"/>
    <w:basedOn w:val="Normal"/>
    <w:link w:val="ListParagraphChar"/>
    <w:uiPriority w:val="34"/>
    <w:qFormat/>
    <w:rsid w:val="00491FD0"/>
    <w:pPr>
      <w:ind w:left="720"/>
      <w:contextualSpacing/>
    </w:pPr>
  </w:style>
  <w:style w:type="character" w:styleId="IntenseEmphasis">
    <w:name w:val="Intense Emphasis"/>
    <w:basedOn w:val="DefaultParagraphFont"/>
    <w:uiPriority w:val="21"/>
    <w:qFormat/>
    <w:rsid w:val="00491FD0"/>
    <w:rPr>
      <w:i/>
      <w:iCs/>
      <w:color w:val="2F5496" w:themeColor="accent1" w:themeShade="BF"/>
    </w:rPr>
  </w:style>
  <w:style w:type="paragraph" w:styleId="IntenseQuote">
    <w:name w:val="Intense Quote"/>
    <w:basedOn w:val="Normal"/>
    <w:next w:val="Normal"/>
    <w:link w:val="IntenseQuoteChar"/>
    <w:uiPriority w:val="30"/>
    <w:qFormat/>
    <w:rsid w:val="00491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FD0"/>
    <w:rPr>
      <w:i/>
      <w:iCs/>
      <w:color w:val="2F5496" w:themeColor="accent1" w:themeShade="BF"/>
    </w:rPr>
  </w:style>
  <w:style w:type="character" w:styleId="IntenseReference">
    <w:name w:val="Intense Reference"/>
    <w:basedOn w:val="DefaultParagraphFont"/>
    <w:uiPriority w:val="32"/>
    <w:qFormat/>
    <w:rsid w:val="00491FD0"/>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9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mRAJufXMlMQxbibHmNz/f4VFbw==">CgMxLjAaJgoBMBIhCh8IB0IbCg5MaWJyZSBGcmFua2xpbhIJTm92YSBNb25vMg5oLm40MmkyOHRvaXJxODIOaC50b21jeTk4bHpyZjM4AHIhMVpzaHF0UU9VYUQxVjVrUXZjaTd6eHV3OFhlazlUcDRC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2</cp:revision>
  <dcterms:created xsi:type="dcterms:W3CDTF">2025-04-28T06:45:00Z</dcterms:created>
  <dcterms:modified xsi:type="dcterms:W3CDTF">2025-05-04T15:39:00Z</dcterms:modified>
</cp:coreProperties>
</file>