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0AD" w:rsidRDefault="00DB1B51">
      <w:pPr>
        <w:spacing w:line="360" w:lineRule="auto"/>
        <w:jc w:val="both"/>
        <w:rPr>
          <w:rFonts w:ascii="Libre Franklin" w:eastAsia="Libre Franklin" w:hAnsi="Libre Franklin" w:cs="Libre Franklin"/>
          <w:b/>
          <w:color w:val="1F3864"/>
        </w:rPr>
      </w:pPr>
      <w:r>
        <w:rPr>
          <w:rFonts w:ascii="Libre Franklin" w:eastAsia="Libre Franklin" w:hAnsi="Libre Franklin" w:cs="Libre Franklin"/>
          <w:noProof/>
          <w:lang w:eastAsia="en-IN"/>
        </w:rPr>
        <w:drawing>
          <wp:anchor distT="0" distB="0" distL="0" distR="0" simplePos="0" relativeHeight="251658240" behindDoc="1" locked="0" layoutInCell="1" hidden="0" allowOverlap="1">
            <wp:simplePos x="0" y="0"/>
            <wp:positionH relativeFrom="page">
              <wp:posOffset>-524720</wp:posOffset>
            </wp:positionH>
            <wp:positionV relativeFrom="page">
              <wp:posOffset>-293369</wp:posOffset>
            </wp:positionV>
            <wp:extent cx="10220215" cy="14454202"/>
            <wp:effectExtent l="0" t="0" r="0" b="0"/>
            <wp:wrapNone/>
            <wp:docPr id="21382560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rPr>
        <w:t>U.S. Huntington’s Disease Treatment Market</w:t>
      </w:r>
    </w:p>
    <w:p w:rsidR="00ED60AD" w:rsidRDefault="00ED60AD">
      <w:pPr>
        <w:spacing w:line="360" w:lineRule="auto"/>
        <w:jc w:val="both"/>
        <w:rPr>
          <w:rFonts w:ascii="Libre Franklin" w:eastAsia="Libre Franklin" w:hAnsi="Libre Franklin" w:cs="Libre Franklin"/>
          <w:b/>
          <w:color w:val="1F3864"/>
        </w:rPr>
      </w:pPr>
    </w:p>
    <w:p w:rsidR="00DB1B51"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According to </w:t>
      </w:r>
      <w:proofErr w:type="spellStart"/>
      <w:r>
        <w:rPr>
          <w:rFonts w:ascii="Libre Franklin" w:eastAsia="Libre Franklin" w:hAnsi="Libre Franklin" w:cs="Libre Franklin"/>
          <w:color w:val="1F3864"/>
        </w:rPr>
        <w:t>Intelli</w:t>
      </w:r>
      <w:proofErr w:type="spellEnd"/>
      <w:r>
        <w:rPr>
          <w:rFonts w:ascii="Libre Franklin" w:eastAsia="Libre Franklin" w:hAnsi="Libre Franklin" w:cs="Libre Franklin"/>
          <w:color w:val="1F3864"/>
        </w:rPr>
        <w:t>, the U.S. Huntington’s Disease Treatment Market size was valued at USD 285.99 Million in 2024 and is projected to reach USD 1,577.05 Million by 2032, growing at a CAGR of 21.49% from 2025 to 2032.</w:t>
      </w: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noProof/>
          <w:lang w:eastAsia="en-IN"/>
        </w:rPr>
        <w:drawing>
          <wp:inline distT="0" distB="0" distL="0" distR="0">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Huntington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r>
        <w:rPr>
          <w:rFonts w:ascii="Libre Franklin" w:eastAsia="Libre Franklin" w:hAnsi="Libre Franklin" w:cs="Libre Franklin"/>
        </w:rPr>
        <w:t xml:space="preserve"> </w:t>
      </w:r>
      <w:bookmarkStart w:id="0" w:name="_GoBack"/>
      <w:bookmarkEnd w:id="0"/>
    </w:p>
    <w:p w:rsidR="00ED60AD" w:rsidRDefault="00DB1B51">
      <w:pPr>
        <w:spacing w:line="360" w:lineRule="auto"/>
        <w:jc w:val="both"/>
        <w:rPr>
          <w:rFonts w:ascii="Libre Franklin" w:eastAsia="Libre Franklin" w:hAnsi="Libre Franklin" w:cs="Libre Franklin"/>
          <w:color w:val="1F3864"/>
        </w:rPr>
      </w:pPr>
      <w:proofErr w:type="gramStart"/>
      <w:r>
        <w:rPr>
          <w:rFonts w:ascii="Libre Franklin" w:eastAsia="Libre Franklin" w:hAnsi="Libre Franklin" w:cs="Libre Franklin"/>
          <w:color w:val="1F3864"/>
        </w:rPr>
        <w:t>Huntington’s Disease</w:t>
      </w:r>
      <w:proofErr w:type="gramEnd"/>
      <w:r>
        <w:rPr>
          <w:rFonts w:ascii="Libre Franklin" w:eastAsia="Libre Franklin" w:hAnsi="Libre Franklin" w:cs="Libre Franklin"/>
          <w:color w:val="1F3864"/>
        </w:rPr>
        <w:t xml:space="preserve"> (HD) is a progr</w:t>
      </w:r>
      <w:r>
        <w:rPr>
          <w:rFonts w:ascii="Libre Franklin" w:eastAsia="Libre Franklin" w:hAnsi="Libre Franklin" w:cs="Libre Franklin"/>
          <w:color w:val="1F3864"/>
        </w:rPr>
        <w:t>essive,</w:t>
      </w:r>
      <w:r>
        <w:t xml:space="preserve"> </w:t>
      </w:r>
      <w:r>
        <w:rPr>
          <w:rFonts w:ascii="Libre Franklin" w:eastAsia="Libre Franklin" w:hAnsi="Libre Franklin" w:cs="Libre Franklin"/>
          <w:color w:val="1F3864"/>
        </w:rPr>
        <w:t xml:space="preserve">devastating inherited neurological disorder that causes the gradual breakdown of nerve cells in the brain. In the U.S, approximately 30,000 individuals are currently living with </w:t>
      </w:r>
      <w:proofErr w:type="gramStart"/>
      <w:r>
        <w:rPr>
          <w:rFonts w:ascii="Libre Franklin" w:eastAsia="Libre Franklin" w:hAnsi="Libre Franklin" w:cs="Libre Franklin"/>
          <w:color w:val="1F3864"/>
        </w:rPr>
        <w:t>Huntington’s Disease</w:t>
      </w:r>
      <w:proofErr w:type="gramEnd"/>
      <w:r>
        <w:rPr>
          <w:rFonts w:ascii="Libre Franklin" w:eastAsia="Libre Franklin" w:hAnsi="Libre Franklin" w:cs="Libre Franklin"/>
          <w:color w:val="1F3864"/>
        </w:rPr>
        <w:t>, while an estimated 200,000 more are at risk of i</w:t>
      </w:r>
      <w:r>
        <w:rPr>
          <w:rFonts w:ascii="Libre Franklin" w:eastAsia="Libre Franklin" w:hAnsi="Libre Franklin" w:cs="Libre Franklin"/>
          <w:color w:val="1F3864"/>
        </w:rPr>
        <w:t>nheriting the condition.</w:t>
      </w:r>
      <w:r>
        <w:t xml:space="preserve"> </w:t>
      </w:r>
      <w:r>
        <w:rPr>
          <w:rFonts w:ascii="Libre Franklin" w:eastAsia="Libre Franklin" w:hAnsi="Libre Franklin" w:cs="Libre Franklin"/>
          <w:color w:val="1F3864"/>
        </w:rPr>
        <w:t>These figures highlight the significant impact of HD within the U.S., emphasizing the need for continued research and support for affected individuals and their families. This degeneration leads to a wide range of physical, cogniti</w:t>
      </w:r>
      <w:r>
        <w:rPr>
          <w:rFonts w:ascii="Libre Franklin" w:eastAsia="Libre Franklin" w:hAnsi="Libre Franklin" w:cs="Libre Franklin"/>
          <w:color w:val="1F3864"/>
        </w:rPr>
        <w:t>ve, and psychiatric symptoms. Symptoms typically begin to appear between the ages of 30 and 50.</w:t>
      </w:r>
      <w:r>
        <w:t xml:space="preserve"> </w:t>
      </w:r>
      <w:r>
        <w:rPr>
          <w:rFonts w:ascii="Libre Franklin" w:eastAsia="Libre Franklin" w:hAnsi="Libre Franklin" w:cs="Libre Franklin"/>
          <w:color w:val="1F3864"/>
        </w:rPr>
        <w:t xml:space="preserve">It is caused by a genetic mutation in the HTT gene. The mutation involves an </w:t>
      </w:r>
      <w:proofErr w:type="gramStart"/>
      <w:r>
        <w:rPr>
          <w:rFonts w:ascii="Libre Franklin" w:eastAsia="Libre Franklin" w:hAnsi="Libre Franklin" w:cs="Libre Franklin"/>
          <w:color w:val="1F3864"/>
        </w:rPr>
        <w:t>expansion</w:t>
      </w:r>
      <w:proofErr w:type="gramEnd"/>
      <w:r>
        <w:rPr>
          <w:rFonts w:ascii="Libre Franklin" w:eastAsia="Libre Franklin" w:hAnsi="Libre Franklin" w:cs="Libre Franklin"/>
          <w:color w:val="1F3864"/>
        </w:rPr>
        <w:t xml:space="preserve"> of the CAG trinucleotide repeat in the gene. HD is passed from parent to </w:t>
      </w:r>
      <w:r>
        <w:rPr>
          <w:rFonts w:ascii="Libre Franklin" w:eastAsia="Libre Franklin" w:hAnsi="Libre Franklin" w:cs="Libre Franklin"/>
          <w:color w:val="1F3864"/>
        </w:rPr>
        <w:t>child in an autosomal dominant pattern that means a child has a 50% chance of inheriting the faulty gene if one parent carries it. This single genetic mutation triggers a gradual and unstoppable decline in brain function, with symptoms often appearing in m</w:t>
      </w:r>
      <w:r>
        <w:rPr>
          <w:rFonts w:ascii="Libre Franklin" w:eastAsia="Libre Franklin" w:hAnsi="Libre Franklin" w:cs="Libre Franklin"/>
          <w:color w:val="1F3864"/>
        </w:rPr>
        <w:t>id-adulthood, though they can begin at any stage of life. As HD advances, individuals often face uncontrollable movements, problems with coordination and balance, cognitive decline affecting memory and decision-</w:t>
      </w:r>
      <w:r>
        <w:rPr>
          <w:rFonts w:ascii="Libre Franklin" w:eastAsia="Libre Franklin" w:hAnsi="Libre Franklin" w:cs="Libre Franklin"/>
          <w:color w:val="1F3864"/>
        </w:rPr>
        <w:lastRenderedPageBreak/>
        <w:t>making, and emotional challenges like depress</w:t>
      </w:r>
      <w:r>
        <w:rPr>
          <w:rFonts w:ascii="Libre Franklin" w:eastAsia="Libre Franklin" w:hAnsi="Libre Franklin" w:cs="Libre Franklin"/>
          <w:color w:val="1F3864"/>
        </w:rPr>
        <w:t>ion, anxiety, or irritability. HD is more than a medical diagnosis, stands as a profound testament to the influence of genetics and the unwavering strength of those who live with its challenges.</w:t>
      </w:r>
    </w:p>
    <w:p w:rsidR="00ED60AD" w:rsidRDefault="00ED60AD">
      <w:pPr>
        <w:spacing w:line="360" w:lineRule="auto"/>
        <w:jc w:val="both"/>
        <w:rPr>
          <w:rFonts w:ascii="Libre Franklin" w:eastAsia="Libre Franklin" w:hAnsi="Libre Franklin" w:cs="Libre Franklin"/>
          <w:color w:val="1F3864"/>
        </w:rPr>
      </w:pPr>
    </w:p>
    <w:p w:rsidR="00ED60AD" w:rsidRDefault="00DB1B51">
      <w:pP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U.S. Huntington’s Disease Treatment Market Definition </w:t>
      </w: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color w:val="002060"/>
        </w:rPr>
        <w:t>The U</w:t>
      </w:r>
      <w:r>
        <w:rPr>
          <w:rFonts w:ascii="Libre Franklin" w:eastAsia="Libre Franklin" w:hAnsi="Libre Franklin" w:cs="Libre Franklin"/>
          <w:color w:val="002060"/>
        </w:rPr>
        <w:t>.S. Huntington's Disease Treatment Market encompasses the healthcare sector dedicated to the research, development, approval, and commercialization of therapeutic interventions aimed at managing and treating HD. The rapid growth of the branded segment in t</w:t>
      </w:r>
      <w:r>
        <w:rPr>
          <w:rFonts w:ascii="Libre Franklin" w:eastAsia="Libre Franklin" w:hAnsi="Libre Franklin" w:cs="Libre Franklin"/>
          <w:color w:val="002060"/>
        </w:rPr>
        <w:t>he HD treatment market is largely driven by its proven clinical effectiveness and widespread brand trust among healthcare providers and patients. Leading market players are driving growth by implementing strategic initiatives such as launching innovative p</w:t>
      </w:r>
      <w:r>
        <w:rPr>
          <w:rFonts w:ascii="Libre Franklin" w:eastAsia="Libre Franklin" w:hAnsi="Libre Franklin" w:cs="Libre Franklin"/>
          <w:color w:val="002060"/>
        </w:rPr>
        <w:t>roducts and forming strategic partnerships to strengthen their market presence and increase share.</w:t>
      </w: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noProof/>
          <w:lang w:eastAsia="en-IN"/>
        </w:rPr>
        <w:drawing>
          <wp:anchor distT="0" distB="0" distL="0" distR="0" simplePos="0" relativeHeight="251659264" behindDoc="1" locked="0" layoutInCell="1" hidden="0" allowOverlap="1">
            <wp:simplePos x="0" y="0"/>
            <wp:positionH relativeFrom="page">
              <wp:posOffset>-95249</wp:posOffset>
            </wp:positionH>
            <wp:positionV relativeFrom="page">
              <wp:posOffset>-631824</wp:posOffset>
            </wp:positionV>
            <wp:extent cx="10220215" cy="14454202"/>
            <wp:effectExtent l="0" t="0" r="0" b="0"/>
            <wp:wrapNone/>
            <wp:docPr id="21382560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b/>
          <w:color w:val="002060"/>
        </w:rPr>
        <w:t>U.S. Huntington’s Disease Treatment Market Overview</w:t>
      </w: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The U.S. Huntington’s Disease (HD) treatment market is experiencing significant growth, driven by risin</w:t>
      </w:r>
      <w:r>
        <w:rPr>
          <w:rFonts w:ascii="Libre Franklin" w:eastAsia="Libre Franklin" w:hAnsi="Libre Franklin" w:cs="Libre Franklin"/>
          <w:color w:val="1F3864"/>
        </w:rPr>
        <w:t>g disease prevalence, advancements in genetic research, and increasing awareness of available treatment options. The U.S accounts for over 70% of the HD treatment market, exceeding the combined market share of major global regions including Germany, Spain,</w:t>
      </w:r>
      <w:r>
        <w:rPr>
          <w:rFonts w:ascii="Libre Franklin" w:eastAsia="Libre Franklin" w:hAnsi="Libre Franklin" w:cs="Libre Franklin"/>
          <w:color w:val="1F3864"/>
        </w:rPr>
        <w:t xml:space="preserve"> Italy, France, the United Kingdom, and Japan. The key components of this market include pharmacological intervention, Off-label drug, and healthcare services.</w:t>
      </w: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Ongoing clinical trials and a robust pipeline of drug candidates are key market trends contribut</w:t>
      </w:r>
      <w:r>
        <w:rPr>
          <w:rFonts w:ascii="Libre Franklin" w:eastAsia="Libre Franklin" w:hAnsi="Libre Franklin" w:cs="Libre Franklin"/>
          <w:color w:val="1F3864"/>
        </w:rPr>
        <w:t>ing to future expansion. In addition, the approval of new treatments by the U.S. Food and Drug Administration (FDA) enhances therapeutic options and market dynamics.</w:t>
      </w: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Strategic collaborations, partnerships, are also playing a significant role in shaping the</w:t>
      </w:r>
      <w:r>
        <w:rPr>
          <w:rFonts w:ascii="Libre Franklin" w:eastAsia="Libre Franklin" w:hAnsi="Libre Franklin" w:cs="Libre Franklin"/>
          <w:color w:val="1F3864"/>
        </w:rPr>
        <w:t xml:space="preserve"> market, while improved healthcare infrastructure and patient support programs contribute to broader access and enhanced quality of care.</w:t>
      </w:r>
    </w:p>
    <w:p w:rsidR="00ED60AD" w:rsidRDefault="00ED60AD">
      <w:pPr>
        <w:spacing w:line="360" w:lineRule="auto"/>
        <w:jc w:val="both"/>
        <w:rPr>
          <w:rFonts w:ascii="Libre Franklin" w:eastAsia="Libre Franklin" w:hAnsi="Libre Franklin" w:cs="Libre Franklin"/>
          <w:color w:val="1F3864"/>
        </w:rPr>
      </w:pPr>
    </w:p>
    <w:p w:rsidR="00ED60AD" w:rsidRDefault="00DB1B51">
      <w:pP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U.S. Huntington’s Disease Treatment Market Segmentation</w:t>
      </w: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color w:val="002060"/>
        </w:rPr>
        <w:lastRenderedPageBreak/>
        <w:t>U.S. Huntington’s Disease Treatment Market is segmented based</w:t>
      </w:r>
      <w:r>
        <w:rPr>
          <w:rFonts w:ascii="Libre Franklin" w:eastAsia="Libre Franklin" w:hAnsi="Libre Franklin" w:cs="Libre Franklin"/>
          <w:color w:val="002060"/>
        </w:rPr>
        <w:t xml:space="preserve"> on drug therapy, treatment, age and end-user.</w:t>
      </w:r>
    </w:p>
    <w:p w:rsidR="00ED60AD" w:rsidRDefault="00ED60AD">
      <w:pPr>
        <w:spacing w:line="360" w:lineRule="auto"/>
        <w:jc w:val="both"/>
        <w:rPr>
          <w:rFonts w:ascii="Libre Franklin" w:eastAsia="Libre Franklin" w:hAnsi="Libre Franklin" w:cs="Libre Franklin"/>
          <w:b/>
          <w:color w:val="002060"/>
        </w:rPr>
      </w:pPr>
    </w:p>
    <w:p w:rsidR="00ED60AD" w:rsidRDefault="00DB1B51">
      <w:pP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U.S. Huntington’s Disease Treatment Market, By Drug type</w:t>
      </w:r>
    </w:p>
    <w:p w:rsidR="00ED60AD" w:rsidRDefault="00DB1B51">
      <w:pPr>
        <w:numPr>
          <w:ilvl w:val="0"/>
          <w:numId w:val="1"/>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Approved Drugs</w:t>
      </w:r>
    </w:p>
    <w:p w:rsidR="00ED60AD" w:rsidRDefault="00DB1B51">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1F3864"/>
        </w:rPr>
      </w:pPr>
      <w:proofErr w:type="spellStart"/>
      <w:r>
        <w:rPr>
          <w:rFonts w:ascii="Libre Franklin" w:eastAsia="Libre Franklin" w:hAnsi="Libre Franklin" w:cs="Libre Franklin"/>
          <w:b/>
          <w:color w:val="1F3864"/>
        </w:rPr>
        <w:t>Tetrabenazine</w:t>
      </w:r>
      <w:proofErr w:type="spellEnd"/>
    </w:p>
    <w:p w:rsidR="00ED60AD" w:rsidRDefault="00DB1B51">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  </w:t>
      </w:r>
      <w:proofErr w:type="spellStart"/>
      <w:r>
        <w:rPr>
          <w:rFonts w:ascii="Libre Franklin" w:eastAsia="Libre Franklin" w:hAnsi="Libre Franklin" w:cs="Libre Franklin"/>
          <w:b/>
          <w:color w:val="1F3864"/>
        </w:rPr>
        <w:t>Deutetrabenazine</w:t>
      </w:r>
      <w:proofErr w:type="spellEnd"/>
    </w:p>
    <w:p w:rsidR="00ED60AD" w:rsidRDefault="00DB1B51">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 Antipsychotics (Risperidone, Quetiapine)</w:t>
      </w:r>
    </w:p>
    <w:p w:rsidR="00ED60AD" w:rsidRDefault="00DB1B51">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Antidepressants</w:t>
      </w:r>
    </w:p>
    <w:p w:rsidR="00ED60AD" w:rsidRDefault="00ED60AD">
      <w:pPr>
        <w:spacing w:line="360" w:lineRule="auto"/>
        <w:jc w:val="both"/>
        <w:rPr>
          <w:rFonts w:ascii="Libre Franklin" w:eastAsia="Libre Franklin" w:hAnsi="Libre Franklin" w:cs="Libre Franklin"/>
          <w:color w:val="1F3864"/>
        </w:rPr>
      </w:pPr>
    </w:p>
    <w:p w:rsidR="00ED60AD" w:rsidRDefault="00DB1B51">
      <w:pPr>
        <w:numPr>
          <w:ilvl w:val="0"/>
          <w:numId w:val="1"/>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Pipeline Drugs</w:t>
      </w:r>
    </w:p>
    <w:p w:rsidR="00ED60AD" w:rsidRDefault="00DB1B51">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Gene therapies</w:t>
      </w:r>
    </w:p>
    <w:p w:rsidR="00ED60AD" w:rsidRDefault="00DB1B51">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RNA-based therapies</w:t>
      </w:r>
    </w:p>
    <w:p w:rsidR="00ED60AD" w:rsidRDefault="00ED60AD">
      <w:pPr>
        <w:pBdr>
          <w:top w:val="nil"/>
          <w:left w:val="nil"/>
          <w:bottom w:val="nil"/>
          <w:right w:val="nil"/>
          <w:between w:val="nil"/>
        </w:pBdr>
        <w:spacing w:line="360" w:lineRule="auto"/>
        <w:ind w:left="2227"/>
        <w:jc w:val="both"/>
        <w:rPr>
          <w:rFonts w:ascii="Libre Franklin" w:eastAsia="Libre Franklin" w:hAnsi="Libre Franklin" w:cs="Libre Franklin"/>
          <w:b/>
          <w:color w:val="1F3864"/>
        </w:rPr>
      </w:pP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The U.S. Huntington’s Disease treatment market is categorized by drug type into approved drugs and pipeline therapies, each playing a vital role in addressing the complex symptoms of the disorder. Among the approved treatments, </w:t>
      </w:r>
      <w:proofErr w:type="spellStart"/>
      <w:r>
        <w:rPr>
          <w:rFonts w:ascii="Libre Franklin" w:eastAsia="Libre Franklin" w:hAnsi="Libre Franklin" w:cs="Libre Franklin"/>
          <w:color w:val="1F3864"/>
        </w:rPr>
        <w:t>Tetrabenazine</w:t>
      </w:r>
      <w:proofErr w:type="spellEnd"/>
      <w:r>
        <w:rPr>
          <w:rFonts w:ascii="Libre Franklin" w:eastAsia="Libre Franklin" w:hAnsi="Libre Franklin" w:cs="Libre Franklin"/>
          <w:color w:val="1F3864"/>
        </w:rPr>
        <w:t xml:space="preserve"> and </w:t>
      </w:r>
      <w:proofErr w:type="spellStart"/>
      <w:r>
        <w:rPr>
          <w:rFonts w:ascii="Libre Franklin" w:eastAsia="Libre Franklin" w:hAnsi="Libre Franklin" w:cs="Libre Franklin"/>
          <w:color w:val="1F3864"/>
        </w:rPr>
        <w:t>Deutetrabe</w:t>
      </w:r>
      <w:r>
        <w:rPr>
          <w:rFonts w:ascii="Libre Franklin" w:eastAsia="Libre Franklin" w:hAnsi="Libre Franklin" w:cs="Libre Franklin"/>
          <w:color w:val="1F3864"/>
        </w:rPr>
        <w:t>nazine</w:t>
      </w:r>
      <w:proofErr w:type="spellEnd"/>
      <w:r>
        <w:rPr>
          <w:rFonts w:ascii="Libre Franklin" w:eastAsia="Libre Franklin" w:hAnsi="Libre Franklin" w:cs="Libre Franklin"/>
          <w:color w:val="1F3864"/>
        </w:rPr>
        <w:t xml:space="preserve"> are widely used to manage chorea, a hallmark motor symptom of </w:t>
      </w:r>
      <w:proofErr w:type="gramStart"/>
      <w:r>
        <w:rPr>
          <w:rFonts w:ascii="Libre Franklin" w:eastAsia="Libre Franklin" w:hAnsi="Libre Franklin" w:cs="Libre Franklin"/>
          <w:color w:val="1F3864"/>
        </w:rPr>
        <w:t>Huntington’s Disease</w:t>
      </w:r>
      <w:proofErr w:type="gramEnd"/>
      <w:r>
        <w:rPr>
          <w:rFonts w:ascii="Libre Franklin" w:eastAsia="Libre Franklin" w:hAnsi="Libre Franklin" w:cs="Libre Franklin"/>
          <w:color w:val="1F3864"/>
        </w:rPr>
        <w:t xml:space="preserve">. It </w:t>
      </w:r>
      <w:r>
        <w:rPr>
          <w:rFonts w:ascii="Libre Franklin" w:eastAsia="Libre Franklin" w:hAnsi="Libre Franklin" w:cs="Libre Franklin"/>
          <w:noProof/>
          <w:lang w:eastAsia="en-IN"/>
        </w:rPr>
        <w:drawing>
          <wp:anchor distT="0" distB="0" distL="0" distR="0" simplePos="0" relativeHeight="251660288" behindDoc="1" locked="0" layoutInCell="1" hidden="0" allowOverlap="1">
            <wp:simplePos x="0" y="0"/>
            <wp:positionH relativeFrom="page">
              <wp:posOffset>-819149</wp:posOffset>
            </wp:positionH>
            <wp:positionV relativeFrom="page">
              <wp:posOffset>-1271904</wp:posOffset>
            </wp:positionV>
            <wp:extent cx="10220215" cy="14454202"/>
            <wp:effectExtent l="0" t="0" r="0" b="0"/>
            <wp:wrapNone/>
            <wp:docPr id="21382560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rPr>
        <w:t>holds the maximum revenue in the segment. Meanwhile, the pipeline is rapidly evolving with promising innovations such as gene therapies and RNA-based treatments,</w:t>
      </w:r>
      <w:r>
        <w:rPr>
          <w:rFonts w:ascii="Libre Franklin" w:eastAsia="Libre Franklin" w:hAnsi="Libre Franklin" w:cs="Libre Franklin"/>
          <w:color w:val="1F3864"/>
        </w:rPr>
        <w:t xml:space="preserve"> aiming not only to manage symptoms. This dynamic and emerging therapies is driving significant momentum in the U.S. Huntington’s Disease treatment market. </w:t>
      </w:r>
    </w:p>
    <w:p w:rsidR="00ED60AD" w:rsidRDefault="00ED60AD">
      <w:pPr>
        <w:spacing w:line="360" w:lineRule="auto"/>
        <w:jc w:val="both"/>
        <w:rPr>
          <w:rFonts w:ascii="Libre Franklin" w:eastAsia="Libre Franklin" w:hAnsi="Libre Franklin" w:cs="Libre Franklin"/>
          <w:b/>
          <w:color w:val="002060"/>
        </w:rPr>
      </w:pPr>
    </w:p>
    <w:p w:rsidR="00ED60AD" w:rsidRDefault="00DB1B51">
      <w:pP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U.S. Huntington’s Disease Treatment Market, By Treatment Type</w:t>
      </w:r>
    </w:p>
    <w:p w:rsidR="00ED60AD" w:rsidRDefault="00DB1B51">
      <w:pPr>
        <w:numPr>
          <w:ilvl w:val="0"/>
          <w:numId w:val="1"/>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Symptomatic Treatment</w:t>
      </w:r>
    </w:p>
    <w:p w:rsidR="00ED60AD" w:rsidRDefault="00DB1B51">
      <w:pPr>
        <w:numPr>
          <w:ilvl w:val="0"/>
          <w:numId w:val="1"/>
        </w:numPr>
        <w:pBdr>
          <w:top w:val="nil"/>
          <w:left w:val="nil"/>
          <w:bottom w:val="nil"/>
          <w:right w:val="nil"/>
          <w:between w:val="nil"/>
        </w:pBd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Disease-Modify</w:t>
      </w:r>
      <w:r>
        <w:rPr>
          <w:rFonts w:ascii="Libre Franklin" w:eastAsia="Libre Franklin" w:hAnsi="Libre Franklin" w:cs="Libre Franklin"/>
          <w:b/>
          <w:color w:val="1F3864"/>
        </w:rPr>
        <w:t>ing Treatment</w:t>
      </w:r>
    </w:p>
    <w:p w:rsidR="00ED60AD" w:rsidRDefault="00ED60AD">
      <w:pPr>
        <w:spacing w:line="360" w:lineRule="auto"/>
        <w:jc w:val="both"/>
        <w:rPr>
          <w:rFonts w:ascii="Libre Franklin" w:eastAsia="Libre Franklin" w:hAnsi="Libre Franklin" w:cs="Libre Franklin"/>
          <w:color w:val="1F3864"/>
        </w:rPr>
      </w:pPr>
    </w:p>
    <w:p w:rsidR="00ED60AD" w:rsidRDefault="00DB1B51">
      <w:pP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lastRenderedPageBreak/>
        <w:t>The U.S. Huntington’s Disease treatment market is segmented into symptomatic treatments and disease-modifying treatments. Symptomatic treatments remain the cornerstone of care, focusing on managing the motor, cognitive, and psychiatric sympt</w:t>
      </w:r>
      <w:r>
        <w:rPr>
          <w:rFonts w:ascii="Libre Franklin" w:eastAsia="Libre Franklin" w:hAnsi="Libre Franklin" w:cs="Libre Franklin"/>
          <w:color w:val="1F3864"/>
        </w:rPr>
        <w:t>oms associated with the disease. This growth is driven by the widespread availability of symptom management therapies and the continued patent protection. It supports their market exclusivity. On the other side, the disease-modifying therapies segment is e</w:t>
      </w:r>
      <w:r>
        <w:rPr>
          <w:rFonts w:ascii="Libre Franklin" w:eastAsia="Libre Franklin" w:hAnsi="Libre Franklin" w:cs="Libre Franklin"/>
          <w:color w:val="1F3864"/>
        </w:rPr>
        <w:t>xpected to experience the most rapid growth throughout the forecast period. Unlike symptomatic therapies that provide temporary relief, these treatments target the underlying genetic and molecular mechanisms responsible for disease progression. Current res</w:t>
      </w:r>
      <w:r>
        <w:rPr>
          <w:rFonts w:ascii="Libre Franklin" w:eastAsia="Libre Franklin" w:hAnsi="Libre Franklin" w:cs="Libre Franklin"/>
          <w:color w:val="1F3864"/>
        </w:rPr>
        <w:t>earch in this area includes gene therapies, RNA interference, and antisense oligonucleotides, all designed to reduce the production of the mutant huntingtin (</w:t>
      </w:r>
      <w:proofErr w:type="spellStart"/>
      <w:r>
        <w:rPr>
          <w:rFonts w:ascii="Libre Franklin" w:eastAsia="Libre Franklin" w:hAnsi="Libre Franklin" w:cs="Libre Franklin"/>
          <w:color w:val="1F3864"/>
        </w:rPr>
        <w:t>mHTT</w:t>
      </w:r>
      <w:proofErr w:type="spellEnd"/>
      <w:r>
        <w:rPr>
          <w:rFonts w:ascii="Libre Franklin" w:eastAsia="Libre Franklin" w:hAnsi="Libre Franklin" w:cs="Libre Franklin"/>
          <w:color w:val="1F3864"/>
        </w:rPr>
        <w:t>) protein, the root cause of the disease.</w:t>
      </w:r>
    </w:p>
    <w:p w:rsidR="00ED60AD" w:rsidRDefault="00ED60AD">
      <w:pPr>
        <w:spacing w:line="360" w:lineRule="auto"/>
        <w:jc w:val="both"/>
        <w:rPr>
          <w:rFonts w:ascii="Libre Franklin" w:eastAsia="Libre Franklin" w:hAnsi="Libre Franklin" w:cs="Libre Franklin"/>
          <w:b/>
          <w:color w:val="1F3864"/>
        </w:rPr>
      </w:pPr>
    </w:p>
    <w:p w:rsidR="00ED60AD" w:rsidRDefault="00DB1B51">
      <w:pP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U.S. Huntington’s Disease Treatment Market, By Age</w:t>
      </w:r>
    </w:p>
    <w:p w:rsidR="00ED60AD" w:rsidRDefault="00DB1B51">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Below 60 years</w:t>
      </w:r>
    </w:p>
    <w:p w:rsidR="00ED60AD" w:rsidRDefault="00DB1B51">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Above 60 years</w:t>
      </w:r>
    </w:p>
    <w:p w:rsidR="00ED60AD" w:rsidRDefault="00ED60AD">
      <w:pPr>
        <w:spacing w:line="360" w:lineRule="auto"/>
        <w:jc w:val="both"/>
        <w:rPr>
          <w:rFonts w:ascii="Libre Franklin" w:eastAsia="Libre Franklin" w:hAnsi="Libre Franklin" w:cs="Libre Franklin"/>
          <w:b/>
          <w:color w:val="002060"/>
        </w:rPr>
      </w:pP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color w:val="002060"/>
        </w:rPr>
        <w:t>The U.S. Huntington’s Disease treatment market can be segmented by age into two primary groups, individuals below 60 years and those above 60 years. The below 60 age group accounts for a significant share of the market, as Huntington’s Disease symptoms typ</w:t>
      </w:r>
      <w:r>
        <w:rPr>
          <w:rFonts w:ascii="Libre Franklin" w:eastAsia="Libre Franklin" w:hAnsi="Libre Franklin" w:cs="Libre Franklin"/>
          <w:color w:val="002060"/>
        </w:rPr>
        <w:t>ically emerge between the ages of 30 and 50. Meanwhile, the above 60 age group represents a growing segment due to increased life expectancy and improved diagnostic awareness, which leads to later-life identification and treatment.</w:t>
      </w:r>
    </w:p>
    <w:p w:rsidR="00ED60AD" w:rsidRDefault="00ED60AD">
      <w:pPr>
        <w:spacing w:line="360" w:lineRule="auto"/>
        <w:jc w:val="both"/>
        <w:rPr>
          <w:rFonts w:ascii="Libre Franklin" w:eastAsia="Libre Franklin" w:hAnsi="Libre Franklin" w:cs="Libre Franklin"/>
          <w:b/>
          <w:color w:val="002060"/>
        </w:rPr>
      </w:pPr>
    </w:p>
    <w:p w:rsidR="00ED60AD" w:rsidRDefault="00DB1B51">
      <w:pPr>
        <w:spacing w:line="360" w:lineRule="auto"/>
        <w:jc w:val="both"/>
        <w:rPr>
          <w:rFonts w:ascii="Libre Franklin" w:eastAsia="Libre Franklin" w:hAnsi="Libre Franklin" w:cs="Libre Franklin"/>
          <w:b/>
          <w:color w:val="002060"/>
        </w:rPr>
      </w:pPr>
      <w:r>
        <w:rPr>
          <w:rFonts w:ascii="Libre Franklin" w:eastAsia="Libre Franklin" w:hAnsi="Libre Franklin" w:cs="Libre Franklin"/>
          <w:b/>
          <w:color w:val="002060"/>
        </w:rPr>
        <w:t>U.S. Huntington’s Disea</w:t>
      </w:r>
      <w:r>
        <w:rPr>
          <w:rFonts w:ascii="Libre Franklin" w:eastAsia="Libre Franklin" w:hAnsi="Libre Franklin" w:cs="Libre Franklin"/>
          <w:b/>
          <w:color w:val="002060"/>
        </w:rPr>
        <w:t>se Treatment Market, By End User</w:t>
      </w:r>
    </w:p>
    <w:p w:rsidR="00ED60AD" w:rsidRDefault="00DB1B51">
      <w:pPr>
        <w:numPr>
          <w:ilvl w:val="0"/>
          <w:numId w:val="5"/>
        </w:numPr>
        <w:pBdr>
          <w:top w:val="nil"/>
          <w:left w:val="nil"/>
          <w:bottom w:val="nil"/>
          <w:right w:val="nil"/>
          <w:between w:val="nil"/>
        </w:pBdr>
        <w:spacing w:before="280"/>
        <w:rPr>
          <w:rFonts w:ascii="Libre Franklin" w:eastAsia="Libre Franklin" w:hAnsi="Libre Franklin" w:cs="Libre Franklin"/>
          <w:color w:val="002060"/>
        </w:rPr>
      </w:pPr>
      <w:r>
        <w:rPr>
          <w:rFonts w:ascii="Libre Franklin" w:eastAsia="Libre Franklin" w:hAnsi="Libre Franklin" w:cs="Libre Franklin"/>
          <w:noProof/>
          <w:color w:val="000000"/>
          <w:lang w:eastAsia="en-IN"/>
        </w:rPr>
        <w:drawing>
          <wp:anchor distT="0" distB="0" distL="0" distR="0" simplePos="0" relativeHeight="251661312" behindDoc="1" locked="0" layoutInCell="1" hidden="0" allowOverlap="1">
            <wp:simplePos x="0" y="0"/>
            <wp:positionH relativeFrom="page">
              <wp:posOffset>-971549</wp:posOffset>
            </wp:positionH>
            <wp:positionV relativeFrom="page">
              <wp:posOffset>-1617979</wp:posOffset>
            </wp:positionV>
            <wp:extent cx="10220215" cy="14454202"/>
            <wp:effectExtent l="0" t="0" r="0" b="0"/>
            <wp:wrapNone/>
            <wp:docPr id="21382560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rPr>
        <w:t>Hospitals</w:t>
      </w:r>
    </w:p>
    <w:p w:rsidR="00ED60AD" w:rsidRDefault="00DB1B51">
      <w:pPr>
        <w:numPr>
          <w:ilvl w:val="0"/>
          <w:numId w:val="5"/>
        </w:numPr>
        <w:pBdr>
          <w:top w:val="nil"/>
          <w:left w:val="nil"/>
          <w:bottom w:val="nil"/>
          <w:right w:val="nil"/>
          <w:between w:val="nil"/>
        </w:pBdr>
        <w:rPr>
          <w:rFonts w:ascii="Libre Franklin" w:eastAsia="Libre Franklin" w:hAnsi="Libre Franklin" w:cs="Libre Franklin"/>
          <w:color w:val="002060"/>
        </w:rPr>
      </w:pPr>
      <w:r>
        <w:rPr>
          <w:rFonts w:ascii="Libre Franklin" w:eastAsia="Libre Franklin" w:hAnsi="Libre Franklin" w:cs="Libre Franklin"/>
          <w:b/>
          <w:color w:val="002060"/>
        </w:rPr>
        <w:t>Specialty Clinics</w:t>
      </w:r>
    </w:p>
    <w:p w:rsidR="00ED60AD" w:rsidRDefault="00DB1B51">
      <w:pPr>
        <w:numPr>
          <w:ilvl w:val="0"/>
          <w:numId w:val="5"/>
        </w:numPr>
        <w:pBdr>
          <w:top w:val="nil"/>
          <w:left w:val="nil"/>
          <w:bottom w:val="nil"/>
          <w:right w:val="nil"/>
          <w:between w:val="nil"/>
        </w:pBdr>
        <w:rPr>
          <w:rFonts w:ascii="Libre Franklin" w:eastAsia="Libre Franklin" w:hAnsi="Libre Franklin" w:cs="Libre Franklin"/>
          <w:color w:val="002060"/>
        </w:rPr>
      </w:pPr>
      <w:r>
        <w:rPr>
          <w:rFonts w:ascii="Libre Franklin" w:eastAsia="Libre Franklin" w:hAnsi="Libre Franklin" w:cs="Libre Franklin"/>
          <w:b/>
          <w:color w:val="002060"/>
        </w:rPr>
        <w:t>Homecare Settings</w:t>
      </w:r>
    </w:p>
    <w:p w:rsidR="00ED60AD" w:rsidRDefault="00DB1B51">
      <w:pPr>
        <w:numPr>
          <w:ilvl w:val="0"/>
          <w:numId w:val="5"/>
        </w:numPr>
        <w:pBdr>
          <w:top w:val="nil"/>
          <w:left w:val="nil"/>
          <w:bottom w:val="nil"/>
          <w:right w:val="nil"/>
          <w:between w:val="nil"/>
        </w:pBdr>
        <w:spacing w:after="280"/>
        <w:rPr>
          <w:rFonts w:ascii="Libre Franklin" w:eastAsia="Libre Franklin" w:hAnsi="Libre Franklin" w:cs="Libre Franklin"/>
          <w:color w:val="002060"/>
        </w:rPr>
      </w:pPr>
      <w:r>
        <w:rPr>
          <w:rFonts w:ascii="Libre Franklin" w:eastAsia="Libre Franklin" w:hAnsi="Libre Franklin" w:cs="Libre Franklin"/>
          <w:b/>
          <w:color w:val="002060"/>
        </w:rPr>
        <w:lastRenderedPageBreak/>
        <w:t>Research &amp; Academic Institutes</w:t>
      </w:r>
    </w:p>
    <w:p w:rsidR="00ED60AD" w:rsidRDefault="00DB1B51">
      <w:pPr>
        <w:spacing w:line="360" w:lineRule="auto"/>
        <w:jc w:val="both"/>
        <w:rPr>
          <w:rFonts w:ascii="Libre Franklin" w:eastAsia="Libre Franklin" w:hAnsi="Libre Franklin" w:cs="Libre Franklin"/>
          <w:color w:val="002060"/>
        </w:rPr>
      </w:pPr>
      <w:r>
        <w:rPr>
          <w:rFonts w:ascii="Libre Franklin" w:eastAsia="Libre Franklin" w:hAnsi="Libre Franklin" w:cs="Libre Franklin"/>
          <w:color w:val="002060"/>
        </w:rPr>
        <w:t>The U.S. Huntington’s Disease treatment market is segmented by end users into hospitals, specialty clinics, homecare settings, and research &amp; academic institutes. Hospitals dominate the market due to their comprehensive care facilities, access to specializ</w:t>
      </w:r>
      <w:r>
        <w:rPr>
          <w:rFonts w:ascii="Libre Franklin" w:eastAsia="Libre Franklin" w:hAnsi="Libre Franklin" w:cs="Libre Franklin"/>
          <w:color w:val="002060"/>
        </w:rPr>
        <w:t>ed neurology departments. Specialty clinics, particularly those focused on neurology and movement disorders, are rapidly gaining traction by offering personalized, outpatient-based care and advanced treatment options. Meanwhile, research and academic insti</w:t>
      </w:r>
      <w:r>
        <w:rPr>
          <w:rFonts w:ascii="Libre Franklin" w:eastAsia="Libre Franklin" w:hAnsi="Libre Franklin" w:cs="Libre Franklin"/>
          <w:color w:val="002060"/>
        </w:rPr>
        <w:t xml:space="preserve">tutes play a pivotal role in driving innovation, contributing to clinical trials, and accelerating the development of disease-modifying therapies. </w:t>
      </w:r>
    </w:p>
    <w:p w:rsidR="00ED60AD" w:rsidRDefault="00ED60AD">
      <w:pPr>
        <w:spacing w:line="360" w:lineRule="auto"/>
        <w:jc w:val="both"/>
        <w:rPr>
          <w:rFonts w:ascii="Libre Franklin" w:eastAsia="Libre Franklin" w:hAnsi="Libre Franklin" w:cs="Libre Franklin"/>
          <w:b/>
          <w:color w:val="1F3864"/>
        </w:rPr>
      </w:pPr>
    </w:p>
    <w:p w:rsidR="00ED60AD" w:rsidRDefault="00DB1B51">
      <w:pPr>
        <w:spacing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Key Players</w:t>
      </w:r>
    </w:p>
    <w:p w:rsidR="00ED60AD" w:rsidRDefault="00DB1B51">
      <w:pPr>
        <w:spacing w:before="240"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The “U.S. Huntington’s Disease Treatment Market” study report will provide valuable insight emp</w:t>
      </w:r>
      <w:r>
        <w:rPr>
          <w:rFonts w:ascii="Libre Franklin" w:eastAsia="Libre Franklin" w:hAnsi="Libre Franklin" w:cs="Libre Franklin"/>
          <w:color w:val="1F3864"/>
        </w:rPr>
        <w:t>hasizing the U.S market. The major players in the market are</w:t>
      </w:r>
      <w:r>
        <w:t xml:space="preserve"> </w:t>
      </w:r>
      <w:proofErr w:type="spellStart"/>
      <w:r>
        <w:rPr>
          <w:rFonts w:ascii="Libre Franklin" w:eastAsia="Libre Franklin" w:hAnsi="Libre Franklin" w:cs="Libre Franklin"/>
          <w:color w:val="1F3864"/>
        </w:rPr>
        <w:t>Teva</w:t>
      </w:r>
      <w:proofErr w:type="spellEnd"/>
      <w:r>
        <w:rPr>
          <w:rFonts w:ascii="Libre Franklin" w:eastAsia="Libre Franklin" w:hAnsi="Libre Franklin" w:cs="Libre Franklin"/>
          <w:color w:val="1F3864"/>
        </w:rPr>
        <w:t xml:space="preserve"> Pharmaceutical Industries Ltd., Novartis AG, </w:t>
      </w:r>
      <w:proofErr w:type="spellStart"/>
      <w:r>
        <w:rPr>
          <w:rFonts w:ascii="Libre Franklin" w:eastAsia="Libre Franklin" w:hAnsi="Libre Franklin" w:cs="Libre Franklin"/>
          <w:color w:val="1F3864"/>
        </w:rPr>
        <w:t>Neurocrine</w:t>
      </w:r>
      <w:proofErr w:type="spellEnd"/>
      <w:r>
        <w:rPr>
          <w:rFonts w:ascii="Libre Franklin" w:eastAsia="Libre Franklin" w:hAnsi="Libre Franklin" w:cs="Libre Franklin"/>
          <w:color w:val="1F3864"/>
        </w:rPr>
        <w:t xml:space="preserve"> Biosciences, Inc.,</w:t>
      </w:r>
      <w:r>
        <w:t xml:space="preserve"> </w:t>
      </w:r>
      <w:r>
        <w:rPr>
          <w:rFonts w:ascii="Libre Franklin" w:eastAsia="Libre Franklin" w:hAnsi="Libre Franklin" w:cs="Libre Franklin"/>
          <w:color w:val="1F3864"/>
        </w:rPr>
        <w:t xml:space="preserve">Eisai </w:t>
      </w:r>
      <w:proofErr w:type="spellStart"/>
      <w:r>
        <w:rPr>
          <w:rFonts w:ascii="Libre Franklin" w:eastAsia="Libre Franklin" w:hAnsi="Libre Franklin" w:cs="Libre Franklin"/>
          <w:color w:val="1F3864"/>
        </w:rPr>
        <w:t>Co.Ltd</w:t>
      </w:r>
      <w:proofErr w:type="spellEnd"/>
      <w:r>
        <w:rPr>
          <w:rFonts w:ascii="Libre Franklin" w:eastAsia="Libre Franklin" w:hAnsi="Libre Franklin" w:cs="Libre Franklin"/>
          <w:color w:val="1F3864"/>
        </w:rPr>
        <w:t xml:space="preserve">., Sun Pharmaceutical Industries Ltd., H. </w:t>
      </w:r>
      <w:proofErr w:type="spellStart"/>
      <w:r>
        <w:rPr>
          <w:rFonts w:ascii="Libre Franklin" w:eastAsia="Libre Franklin" w:hAnsi="Libre Franklin" w:cs="Libre Franklin"/>
          <w:color w:val="1F3864"/>
        </w:rPr>
        <w:t>Lundbeck</w:t>
      </w:r>
      <w:proofErr w:type="spellEnd"/>
      <w:r>
        <w:rPr>
          <w:rFonts w:ascii="Libre Franklin" w:eastAsia="Libre Franklin" w:hAnsi="Libre Franklin" w:cs="Libre Franklin"/>
          <w:color w:val="1F3864"/>
        </w:rPr>
        <w:t xml:space="preserve"> A/S, Bausch Health Companies Inc., </w:t>
      </w:r>
      <w:proofErr w:type="spellStart"/>
      <w:r>
        <w:rPr>
          <w:rFonts w:ascii="Libre Franklin" w:eastAsia="Libre Franklin" w:hAnsi="Libre Franklin" w:cs="Libre Franklin"/>
          <w:color w:val="1F3864"/>
        </w:rPr>
        <w:t>Dr.</w:t>
      </w:r>
      <w:proofErr w:type="spellEnd"/>
      <w:r>
        <w:rPr>
          <w:rFonts w:ascii="Libre Franklin" w:eastAsia="Libre Franklin" w:hAnsi="Libre Franklin" w:cs="Libre Franklin"/>
          <w:color w:val="1F3864"/>
        </w:rPr>
        <w:t xml:space="preserve"> Reddy’s Laboratories Ltd., </w:t>
      </w:r>
      <w:proofErr w:type="spellStart"/>
      <w:r>
        <w:rPr>
          <w:rFonts w:ascii="Libre Franklin" w:eastAsia="Libre Franklin" w:hAnsi="Libre Franklin" w:cs="Libre Franklin"/>
          <w:color w:val="1F3864"/>
        </w:rPr>
        <w:t>Lupin</w:t>
      </w:r>
      <w:proofErr w:type="spellEnd"/>
      <w:r>
        <w:rPr>
          <w:rFonts w:ascii="Libre Franklin" w:eastAsia="Libre Franklin" w:hAnsi="Libre Franklin" w:cs="Libre Franklin"/>
          <w:color w:val="1F3864"/>
        </w:rPr>
        <w:t xml:space="preserve">, Hetero, Roche Ltd., </w:t>
      </w:r>
      <w:proofErr w:type="spellStart"/>
      <w:r>
        <w:rPr>
          <w:rFonts w:ascii="Libre Franklin" w:eastAsia="Libre Franklin" w:hAnsi="Libre Franklin" w:cs="Libre Franklin"/>
          <w:color w:val="1F3864"/>
        </w:rPr>
        <w:t>Prilenia</w:t>
      </w:r>
      <w:proofErr w:type="spellEnd"/>
      <w:r>
        <w:rPr>
          <w:rFonts w:ascii="Libre Franklin" w:eastAsia="Libre Franklin" w:hAnsi="Libre Franklin" w:cs="Libre Franklin"/>
          <w:color w:val="1F3864"/>
        </w:rPr>
        <w:t xml:space="preserve"> Therapeutic, </w:t>
      </w:r>
      <w:proofErr w:type="spellStart"/>
      <w:r>
        <w:rPr>
          <w:rFonts w:ascii="Libre Franklin" w:eastAsia="Libre Franklin" w:hAnsi="Libre Franklin" w:cs="Libre Franklin"/>
          <w:color w:val="1F3864"/>
        </w:rPr>
        <w:t>Neurocrine</w:t>
      </w:r>
      <w:proofErr w:type="spellEnd"/>
      <w:r>
        <w:rPr>
          <w:rFonts w:ascii="Libre Franklin" w:eastAsia="Libre Franklin" w:hAnsi="Libre Franklin" w:cs="Libre Franklin"/>
          <w:color w:val="1F3864"/>
        </w:rPr>
        <w:t xml:space="preserve"> Biosciences, </w:t>
      </w:r>
      <w:proofErr w:type="spellStart"/>
      <w:r>
        <w:rPr>
          <w:rFonts w:ascii="Libre Franklin" w:eastAsia="Libre Franklin" w:hAnsi="Libre Franklin" w:cs="Libre Franklin"/>
          <w:color w:val="1F3864"/>
        </w:rPr>
        <w:t>Annexon</w:t>
      </w:r>
      <w:proofErr w:type="spellEnd"/>
      <w:r>
        <w:rPr>
          <w:rFonts w:ascii="Libre Franklin" w:eastAsia="Libre Franklin" w:hAnsi="Libre Franklin" w:cs="Libre Franklin"/>
          <w:color w:val="1F3864"/>
        </w:rPr>
        <w:t xml:space="preserve">, Inc., </w:t>
      </w:r>
      <w:proofErr w:type="spellStart"/>
      <w:proofErr w:type="gramStart"/>
      <w:r>
        <w:rPr>
          <w:rFonts w:ascii="Libre Franklin" w:eastAsia="Libre Franklin" w:hAnsi="Libre Franklin" w:cs="Libre Franklin"/>
          <w:color w:val="1F3864"/>
        </w:rPr>
        <w:t>Atalanta</w:t>
      </w:r>
      <w:proofErr w:type="spellEnd"/>
      <w:proofErr w:type="gramEnd"/>
      <w:r>
        <w:rPr>
          <w:rFonts w:ascii="Libre Franklin" w:eastAsia="Libre Franklin" w:hAnsi="Libre Franklin" w:cs="Libre Franklin"/>
          <w:color w:val="1F3864"/>
        </w:rPr>
        <w:t xml:space="preserve"> Therapeutics, </w:t>
      </w:r>
      <w:proofErr w:type="spellStart"/>
      <w:r>
        <w:rPr>
          <w:rFonts w:ascii="Libre Franklin" w:eastAsia="Libre Franklin" w:hAnsi="Libre Franklin" w:cs="Libre Franklin"/>
          <w:color w:val="1F3864"/>
        </w:rPr>
        <w:t>Neurimmune</w:t>
      </w:r>
      <w:proofErr w:type="spellEnd"/>
      <w:r>
        <w:rPr>
          <w:rFonts w:ascii="Libre Franklin" w:eastAsia="Libre Franklin" w:hAnsi="Libre Franklin" w:cs="Libre Franklin"/>
          <w:color w:val="1F3864"/>
        </w:rPr>
        <w:t xml:space="preserve"> AG am</w:t>
      </w:r>
      <w:r>
        <w:rPr>
          <w:rFonts w:ascii="Libre Franklin" w:eastAsia="Libre Franklin" w:hAnsi="Libre Franklin" w:cs="Libre Franklin"/>
          <w:color w:val="1F3864"/>
        </w:rPr>
        <w:t>ong others.  Our market analysis also entails a section solely dedicated to such major players wherein our analysts provide an insight into the financial statements of all the major players, along with product benchmarking and SWOT analysis.</w:t>
      </w:r>
    </w:p>
    <w:p w:rsidR="00ED60AD" w:rsidRDefault="00DB1B51">
      <w:pPr>
        <w:spacing w:before="240"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Key Developmen</w:t>
      </w:r>
      <w:r>
        <w:rPr>
          <w:rFonts w:ascii="Libre Franklin" w:eastAsia="Libre Franklin" w:hAnsi="Libre Franklin" w:cs="Libre Franklin"/>
          <w:b/>
          <w:color w:val="1F3864"/>
        </w:rPr>
        <w:t>ts</w:t>
      </w:r>
    </w:p>
    <w:p w:rsidR="00ED60AD" w:rsidRDefault="00DB1B51">
      <w:pPr>
        <w:numPr>
          <w:ilvl w:val="0"/>
          <w:numId w:val="9"/>
        </w:numPr>
        <w:pBdr>
          <w:top w:val="nil"/>
          <w:left w:val="nil"/>
          <w:bottom w:val="nil"/>
          <w:right w:val="nil"/>
          <w:between w:val="nil"/>
        </w:pBdr>
        <w:spacing w:before="240"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In December 2024, Novartis signed a landmark licensing deal with PTC Therapeutics, valued at up to $2.9 billion for PTC518, an investigational oral therapy designed to target the mutant huntingtin protein in Huntington’s disease.</w:t>
      </w:r>
    </w:p>
    <w:p w:rsidR="00ED60AD" w:rsidRDefault="00DB1B51">
      <w:pPr>
        <w:numPr>
          <w:ilvl w:val="0"/>
          <w:numId w:val="9"/>
        </w:numPr>
        <w:pBdr>
          <w:top w:val="nil"/>
          <w:left w:val="nil"/>
          <w:bottom w:val="nil"/>
          <w:right w:val="nil"/>
          <w:between w:val="nil"/>
        </w:pBdr>
        <w:spacing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In February 2025, MMJ I</w:t>
      </w:r>
      <w:r>
        <w:rPr>
          <w:rFonts w:ascii="Libre Franklin" w:eastAsia="Libre Franklin" w:hAnsi="Libre Franklin" w:cs="Libre Franklin"/>
          <w:color w:val="1F3864"/>
        </w:rPr>
        <w:t xml:space="preserve">nternational Holdings reached a major milestone with MMJ-002, its cannabis-derived </w:t>
      </w:r>
      <w:proofErr w:type="spellStart"/>
      <w:r>
        <w:rPr>
          <w:rFonts w:ascii="Libre Franklin" w:eastAsia="Libre Franklin" w:hAnsi="Libre Franklin" w:cs="Libre Franklin"/>
          <w:color w:val="1F3864"/>
        </w:rPr>
        <w:t>softgel</w:t>
      </w:r>
      <w:proofErr w:type="spellEnd"/>
      <w:r>
        <w:rPr>
          <w:rFonts w:ascii="Libre Franklin" w:eastAsia="Libre Franklin" w:hAnsi="Libre Franklin" w:cs="Libre Franklin"/>
          <w:color w:val="1F3864"/>
        </w:rPr>
        <w:t xml:space="preserve"> capsule containing THC, CBD, </w:t>
      </w:r>
      <w:r>
        <w:rPr>
          <w:rFonts w:ascii="Libre Franklin" w:eastAsia="Libre Franklin" w:hAnsi="Libre Franklin" w:cs="Libre Franklin"/>
          <w:color w:val="1F3864"/>
        </w:rPr>
        <w:lastRenderedPageBreak/>
        <w:t xml:space="preserve">and other </w:t>
      </w:r>
      <w:proofErr w:type="spellStart"/>
      <w:r>
        <w:rPr>
          <w:rFonts w:ascii="Libre Franklin" w:eastAsia="Libre Franklin" w:hAnsi="Libre Franklin" w:cs="Libre Franklin"/>
          <w:color w:val="1F3864"/>
        </w:rPr>
        <w:t>phytocannabinoids</w:t>
      </w:r>
      <w:proofErr w:type="spellEnd"/>
      <w:r>
        <w:rPr>
          <w:rFonts w:ascii="Libre Franklin" w:eastAsia="Libre Franklin" w:hAnsi="Libre Franklin" w:cs="Libre Franklin"/>
          <w:color w:val="1F3864"/>
        </w:rPr>
        <w:t>. This innovation is moving closer to commercialization as a potential treatment for Huntington’s disease.</w:t>
      </w:r>
    </w:p>
    <w:p w:rsidR="00ED60AD" w:rsidRDefault="00ED60AD">
      <w:pPr>
        <w:spacing w:before="240" w:line="360" w:lineRule="auto"/>
        <w:jc w:val="both"/>
        <w:rPr>
          <w:rFonts w:ascii="Libre Franklin" w:eastAsia="Libre Franklin" w:hAnsi="Libre Franklin" w:cs="Libre Franklin"/>
          <w:color w:val="1F3864"/>
        </w:rPr>
      </w:pPr>
    </w:p>
    <w:p w:rsidR="00ED60AD" w:rsidRDefault="00DB1B51">
      <w:pPr>
        <w:spacing w:before="240" w:line="360" w:lineRule="auto"/>
        <w:jc w:val="both"/>
        <w:rPr>
          <w:rFonts w:ascii="Libre Franklin" w:eastAsia="Libre Franklin" w:hAnsi="Libre Franklin" w:cs="Libre Franklin"/>
          <w:b/>
          <w:color w:val="1F3864"/>
        </w:rPr>
      </w:pPr>
      <w:r>
        <w:rPr>
          <w:noProof/>
          <w:lang w:eastAsia="en-IN"/>
        </w:rPr>
        <w:drawing>
          <wp:anchor distT="0" distB="0" distL="0" distR="0" simplePos="0" relativeHeight="251662336" behindDoc="1" locked="0" layoutInCell="1" hidden="0" allowOverlap="1">
            <wp:simplePos x="0" y="0"/>
            <wp:positionH relativeFrom="page">
              <wp:posOffset>-1168399</wp:posOffset>
            </wp:positionH>
            <wp:positionV relativeFrom="page">
              <wp:posOffset>-217803</wp:posOffset>
            </wp:positionV>
            <wp:extent cx="10220215" cy="14454202"/>
            <wp:effectExtent l="0" t="0" r="0" b="0"/>
            <wp:wrapNone/>
            <wp:docPr id="213825602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rPr>
        <w:t>Market Attractiveness</w:t>
      </w:r>
    </w:p>
    <w:p w:rsidR="00ED60AD" w:rsidRDefault="00DB1B51">
      <w:pPr>
        <w:spacing w:before="240"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The image of market attractiveness provided further helps to get information about the region leading in the U.S. Huntington’s Disease Treatment Market. We cover the major impacting factors driving the industry growth in the given reg</w:t>
      </w:r>
      <w:r>
        <w:rPr>
          <w:rFonts w:ascii="Libre Franklin" w:eastAsia="Libre Franklin" w:hAnsi="Libre Franklin" w:cs="Libre Franklin"/>
          <w:color w:val="1F3864"/>
        </w:rPr>
        <w:t xml:space="preserve">ion. </w:t>
      </w:r>
    </w:p>
    <w:p w:rsidR="00ED60AD" w:rsidRDefault="00DB1B51">
      <w:pPr>
        <w:spacing w:before="240" w:line="36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Porter’s Five Forces</w:t>
      </w:r>
    </w:p>
    <w:p w:rsidR="00ED60AD" w:rsidRDefault="00DB1B51">
      <w:pPr>
        <w:spacing w:before="240"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rPr>
        <w:t>behavior</w:t>
      </w:r>
      <w:proofErr w:type="spellEnd"/>
      <w:r>
        <w:rPr>
          <w:rFonts w:ascii="Libre Franklin" w:eastAsia="Libre Franklin" w:hAnsi="Libre Franklin" w:cs="Libre Franklin"/>
          <w:color w:val="1F3864"/>
        </w:rPr>
        <w:t xml:space="preserve"> of competitors and a player's strategic positioning in the respective industry. Po</w:t>
      </w:r>
      <w:r>
        <w:rPr>
          <w:rFonts w:ascii="Libre Franklin" w:eastAsia="Libre Franklin" w:hAnsi="Libre Franklin" w:cs="Libre Franklin"/>
          <w:color w:val="1F3864"/>
        </w:rPr>
        <w:t>rter's five forces model can be used to assess the competitive landscape in the U.S. Huntington’s Disease Treatment Market, gauge the attractiveness of a particular sector, and assess investment possibilities.</w:t>
      </w:r>
    </w:p>
    <w:p w:rsidR="00ED60AD" w:rsidRDefault="00ED60AD">
      <w:pPr>
        <w:spacing w:before="240" w:line="360" w:lineRule="auto"/>
        <w:jc w:val="both"/>
        <w:rPr>
          <w:rFonts w:ascii="Libre Franklin" w:eastAsia="Libre Franklin" w:hAnsi="Libre Franklin" w:cs="Libre Franklin"/>
          <w:color w:val="1F3864"/>
        </w:rPr>
      </w:pPr>
    </w:p>
    <w:p w:rsidR="00ED60AD" w:rsidRDefault="00ED60AD">
      <w:pPr>
        <w:spacing w:before="240" w:line="360" w:lineRule="auto"/>
        <w:jc w:val="both"/>
        <w:rPr>
          <w:rFonts w:ascii="Libre Franklin" w:eastAsia="Libre Franklin" w:hAnsi="Libre Franklin" w:cs="Libre Franklin"/>
          <w:color w:val="1F3864"/>
        </w:rPr>
      </w:pPr>
    </w:p>
    <w:p w:rsidR="00ED60AD" w:rsidRDefault="00ED60AD">
      <w:pPr>
        <w:spacing w:before="240" w:line="360" w:lineRule="auto"/>
        <w:jc w:val="both"/>
        <w:rPr>
          <w:rFonts w:ascii="Libre Franklin" w:eastAsia="Libre Franklin" w:hAnsi="Libre Franklin" w:cs="Libre Franklin"/>
          <w:color w:val="1F3864"/>
        </w:rPr>
      </w:pPr>
    </w:p>
    <w:p w:rsidR="00ED60AD" w:rsidRDefault="00ED60AD">
      <w:pPr>
        <w:spacing w:before="240" w:line="360" w:lineRule="auto"/>
        <w:jc w:val="both"/>
        <w:rPr>
          <w:rFonts w:ascii="Libre Franklin" w:eastAsia="Libre Franklin" w:hAnsi="Libre Franklin" w:cs="Libre Franklin"/>
          <w:color w:val="1F3864"/>
        </w:rPr>
      </w:pPr>
    </w:p>
    <w:p w:rsidR="00ED60AD" w:rsidRDefault="00ED60AD">
      <w:pPr>
        <w:spacing w:before="240" w:line="360" w:lineRule="auto"/>
        <w:jc w:val="both"/>
        <w:rPr>
          <w:rFonts w:ascii="Libre Franklin" w:eastAsia="Libre Franklin" w:hAnsi="Libre Franklin" w:cs="Libre Franklin"/>
          <w:color w:val="1F3864"/>
        </w:rPr>
      </w:pPr>
    </w:p>
    <w:p w:rsidR="00ED60AD" w:rsidRDefault="00ED60AD">
      <w:pPr>
        <w:spacing w:before="240" w:line="360" w:lineRule="auto"/>
        <w:jc w:val="both"/>
        <w:rPr>
          <w:rFonts w:ascii="Libre Franklin" w:eastAsia="Libre Franklin" w:hAnsi="Libre Franklin" w:cs="Libre Franklin"/>
          <w:color w:val="1F3864"/>
        </w:rPr>
      </w:pPr>
    </w:p>
    <w:p w:rsidR="00ED60AD" w:rsidRDefault="00DB1B51">
      <w:pPr>
        <w:spacing w:after="200" w:line="360" w:lineRule="auto"/>
        <w:rPr>
          <w:rFonts w:ascii="Libre Franklin" w:eastAsia="Libre Franklin" w:hAnsi="Libre Franklin" w:cs="Libre Franklin"/>
          <w:b/>
          <w:color w:val="1F3864"/>
          <w:sz w:val="40"/>
          <w:szCs w:val="40"/>
        </w:rPr>
      </w:pPr>
      <w:r>
        <w:br w:type="page"/>
      </w:r>
      <w:r>
        <w:rPr>
          <w:rFonts w:ascii="Libre Franklin" w:eastAsia="Libre Franklin" w:hAnsi="Libre Franklin" w:cs="Libre Franklin"/>
          <w:noProof/>
          <w:lang w:eastAsia="en-IN"/>
        </w:rPr>
        <w:lastRenderedPageBreak/>
        <w:drawing>
          <wp:anchor distT="0" distB="0" distL="0" distR="0" simplePos="0" relativeHeight="251663360" behindDoc="1" locked="0" layoutInCell="1" hidden="0" allowOverlap="1">
            <wp:simplePos x="0" y="0"/>
            <wp:positionH relativeFrom="page">
              <wp:posOffset>-476249</wp:posOffset>
            </wp:positionH>
            <wp:positionV relativeFrom="page">
              <wp:posOffset>-2804794</wp:posOffset>
            </wp:positionV>
            <wp:extent cx="10220215" cy="14454202"/>
            <wp:effectExtent l="0" t="0" r="0" b="0"/>
            <wp:wrapNone/>
            <wp:docPr id="21382560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40"/>
          <w:szCs w:val="40"/>
        </w:rPr>
        <w:t>TABLE OF CONTENT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36"/>
          <w:szCs w:val="36"/>
        </w:rPr>
        <w:t>1</w:t>
      </w:r>
      <w:r>
        <w:rPr>
          <w:rFonts w:ascii="Libre Franklin" w:eastAsia="Libre Franklin" w:hAnsi="Libre Franklin" w:cs="Libre Franklin"/>
          <w:b/>
          <w:color w:val="1F3864"/>
          <w:sz w:val="28"/>
          <w:szCs w:val="28"/>
        </w:rPr>
        <w:t xml:space="preserve"> INTRODUCTION OF U.S. HUNTINGTON’S DISEASE TREATMENT MARKET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1.1 Overview of the Market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1.2 Scope of Report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color w:val="1F3864"/>
        </w:rPr>
        <w:t>1.3 Assumptions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sz w:val="36"/>
          <w:szCs w:val="36"/>
        </w:rPr>
        <w:t>2</w:t>
      </w:r>
      <w:r>
        <w:rPr>
          <w:rFonts w:ascii="Libre Franklin" w:eastAsia="Libre Franklin" w:hAnsi="Libre Franklin" w:cs="Libre Franklin"/>
          <w:b/>
          <w:color w:val="1F3864"/>
        </w:rPr>
        <w:t xml:space="preserve"> </w:t>
      </w:r>
      <w:r>
        <w:rPr>
          <w:rFonts w:ascii="Libre Franklin" w:eastAsia="Libre Franklin" w:hAnsi="Libre Franklin" w:cs="Libre Franklin"/>
          <w:b/>
          <w:color w:val="1F3864"/>
          <w:sz w:val="28"/>
          <w:szCs w:val="28"/>
        </w:rPr>
        <w:t>EXECUTIVE SUMMARY</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sz w:val="40"/>
          <w:szCs w:val="40"/>
        </w:rPr>
        <w:t>3</w:t>
      </w:r>
      <w:r>
        <w:rPr>
          <w:rFonts w:ascii="Libre Franklin" w:eastAsia="Libre Franklin" w:hAnsi="Libre Franklin" w:cs="Libre Franklin"/>
          <w:b/>
          <w:color w:val="1F3864"/>
        </w:rPr>
        <w:t xml:space="preserve"> </w:t>
      </w:r>
      <w:r>
        <w:rPr>
          <w:rFonts w:ascii="Libre Franklin" w:eastAsia="Libre Franklin" w:hAnsi="Libre Franklin" w:cs="Libre Franklin"/>
          <w:b/>
          <w:color w:val="1F3864"/>
          <w:sz w:val="28"/>
          <w:szCs w:val="28"/>
        </w:rPr>
        <w:t>RESEARCH METHODOLOGY</w:t>
      </w:r>
      <w:r>
        <w:rPr>
          <w:rFonts w:ascii="Libre Franklin" w:eastAsia="Libre Franklin" w:hAnsi="Libre Franklin" w:cs="Libre Franklin"/>
          <w:b/>
          <w:color w:val="1F3864"/>
        </w:rPr>
        <w:t xml:space="preserve"> </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3.1 Data Mining</w:t>
      </w:r>
    </w:p>
    <w:p w:rsidR="00ED60AD" w:rsidRDefault="00DB1B51">
      <w:pPr>
        <w:numPr>
          <w:ilvl w:val="1"/>
          <w:numId w:val="10"/>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Validation</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3.3 Primary Interviews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3.4 List of Data Sources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36"/>
          <w:szCs w:val="36"/>
        </w:rPr>
        <w:t>4</w:t>
      </w:r>
      <w:r>
        <w:rPr>
          <w:rFonts w:ascii="Libre Franklin" w:eastAsia="Libre Franklin" w:hAnsi="Libre Franklin" w:cs="Libre Franklin"/>
          <w:color w:val="1F3864"/>
        </w:rPr>
        <w:t xml:space="preserve"> </w:t>
      </w:r>
      <w:r>
        <w:rPr>
          <w:rFonts w:ascii="Libre Franklin" w:eastAsia="Libre Franklin" w:hAnsi="Libre Franklin" w:cs="Libre Franklin"/>
          <w:b/>
          <w:color w:val="1F3864"/>
          <w:sz w:val="28"/>
          <w:szCs w:val="28"/>
        </w:rPr>
        <w:t>U.S. HUNTINGTON’S DISEASE TREATMENT MARKET OUTLOOK</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4.1 Overview</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4.2 Market Dynamics</w:t>
      </w:r>
    </w:p>
    <w:p w:rsidR="00ED60AD" w:rsidRDefault="00DB1B51">
      <w:pPr>
        <w:pStyle w:val="Heading3"/>
        <w:spacing w:line="360" w:lineRule="auto"/>
        <w:ind w:left="1350"/>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lastRenderedPageBreak/>
        <w:t>4.2.1 Drivers</w:t>
      </w:r>
    </w:p>
    <w:p w:rsidR="00ED60AD" w:rsidRDefault="00DB1B51">
      <w:pPr>
        <w:pStyle w:val="Heading3"/>
        <w:spacing w:line="360" w:lineRule="auto"/>
        <w:ind w:left="1350"/>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4.2.2 Restraints</w:t>
      </w:r>
    </w:p>
    <w:p w:rsidR="00ED60AD" w:rsidRDefault="00DB1B51">
      <w:pPr>
        <w:pStyle w:val="Heading3"/>
        <w:spacing w:line="360" w:lineRule="auto"/>
        <w:ind w:left="135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4.2.3 Opportunities</w:t>
      </w:r>
    </w:p>
    <w:p w:rsidR="00ED60AD" w:rsidRDefault="00DB1B51">
      <w:pPr>
        <w:pStyle w:val="Heading3"/>
        <w:spacing w:line="360" w:lineRule="auto"/>
        <w:ind w:left="135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4.2.4 Trends</w:t>
      </w:r>
    </w:p>
    <w:p w:rsidR="00ED60AD" w:rsidRDefault="00ED60AD">
      <w:pPr>
        <w:spacing w:line="360" w:lineRule="auto"/>
        <w:rPr>
          <w:rFonts w:ascii="Libre Franklin" w:eastAsia="Libre Franklin" w:hAnsi="Libre Franklin" w:cs="Libre Franklin"/>
        </w:rPr>
      </w:pP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b/>
          <w:noProof/>
          <w:color w:val="1F3864"/>
          <w:lang w:eastAsia="en-IN"/>
        </w:rPr>
        <w:drawing>
          <wp:anchor distT="0" distB="0" distL="0" distR="0" simplePos="0" relativeHeight="251664384" behindDoc="1" locked="0" layoutInCell="1" hidden="0" allowOverlap="1">
            <wp:simplePos x="0" y="0"/>
            <wp:positionH relativeFrom="page">
              <wp:posOffset>-1085849</wp:posOffset>
            </wp:positionH>
            <wp:positionV relativeFrom="margin">
              <wp:align>center</wp:align>
            </wp:positionV>
            <wp:extent cx="10220215" cy="14454202"/>
            <wp:effectExtent l="0" t="0" r="0" b="0"/>
            <wp:wrapNone/>
            <wp:docPr id="213825603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rPr>
        <w:t>4.3 Porters Five Force Model</w:t>
      </w:r>
    </w:p>
    <w:p w:rsidR="00ED60AD" w:rsidRDefault="00DB1B51">
      <w:pPr>
        <w:numPr>
          <w:ilvl w:val="1"/>
          <w:numId w:val="11"/>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b/>
          <w:noProof/>
          <w:color w:val="1F3864"/>
          <w:lang w:eastAsia="en-IN"/>
        </w:rPr>
        <w:drawing>
          <wp:anchor distT="0" distB="0" distL="0" distR="0" simplePos="0" relativeHeight="251665408" behindDoc="1" locked="0" layoutInCell="1" hidden="0" allowOverlap="1">
            <wp:simplePos x="0" y="0"/>
            <wp:positionH relativeFrom="page">
              <wp:posOffset>-1054099</wp:posOffset>
            </wp:positionH>
            <wp:positionV relativeFrom="page">
              <wp:posOffset>-810894</wp:posOffset>
            </wp:positionV>
            <wp:extent cx="10220215" cy="14454202"/>
            <wp:effectExtent l="0" t="0" r="0" b="0"/>
            <wp:wrapNone/>
            <wp:docPr id="21382560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rPr>
        <w:t>Value Chain Analysis</w:t>
      </w:r>
    </w:p>
    <w:p w:rsidR="00ED60AD" w:rsidRDefault="00DB1B51">
      <w:pPr>
        <w:numPr>
          <w:ilvl w:val="0"/>
          <w:numId w:val="11"/>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28"/>
          <w:szCs w:val="28"/>
        </w:rPr>
        <w:t>U.S. HUNTINGTON’S DISEASE TREATMENT MARKET, BY DRUG TYPE</w:t>
      </w:r>
    </w:p>
    <w:p w:rsidR="00ED60AD" w:rsidRDefault="00DB1B51">
      <w:pPr>
        <w:spacing w:before="240"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5.1 Overview</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5.2 Approved Drugs</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5.2.1 </w:t>
      </w:r>
      <w:proofErr w:type="spellStart"/>
      <w:r>
        <w:rPr>
          <w:rFonts w:ascii="Libre Franklin" w:eastAsia="Libre Franklin" w:hAnsi="Libre Franklin" w:cs="Libre Franklin"/>
          <w:color w:val="1F3864"/>
        </w:rPr>
        <w:t>Tetrabenazine</w:t>
      </w:r>
      <w:proofErr w:type="spellEnd"/>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5.2.2 </w:t>
      </w:r>
      <w:proofErr w:type="spellStart"/>
      <w:r>
        <w:rPr>
          <w:rFonts w:ascii="Libre Franklin" w:eastAsia="Libre Franklin" w:hAnsi="Libre Franklin" w:cs="Libre Franklin"/>
          <w:color w:val="1F3864"/>
        </w:rPr>
        <w:t>Deutetrabenazine</w:t>
      </w:r>
      <w:proofErr w:type="spellEnd"/>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5.2.3 Antipsychotics (Risperidone, Quetiapine)</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5.2.4Antidepressants</w:t>
      </w:r>
    </w:p>
    <w:p w:rsidR="00ED60AD" w:rsidRDefault="00DB1B51">
      <w:pPr>
        <w:spacing w:before="240"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5.3 Pipeline Drugs</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5.3.1 Gene therapies</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5.3.2 RNA-based therapies</w:t>
      </w:r>
    </w:p>
    <w:p w:rsidR="00ED60AD" w:rsidRDefault="00DB1B51">
      <w:pPr>
        <w:pBdr>
          <w:top w:val="nil"/>
          <w:left w:val="nil"/>
          <w:bottom w:val="nil"/>
          <w:right w:val="nil"/>
          <w:between w:val="nil"/>
        </w:pBdr>
        <w:tabs>
          <w:tab w:val="left" w:pos="540"/>
          <w:tab w:val="right" w:pos="10260"/>
        </w:tabs>
        <w:spacing w:before="240" w:after="60" w:line="48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36"/>
          <w:szCs w:val="36"/>
        </w:rPr>
        <w:t>6</w:t>
      </w:r>
      <w:r>
        <w:rPr>
          <w:rFonts w:ascii="Libre Franklin" w:eastAsia="Libre Franklin" w:hAnsi="Libre Franklin" w:cs="Libre Franklin"/>
          <w:b/>
          <w:color w:val="1F3864"/>
        </w:rPr>
        <w:t xml:space="preserve"> </w:t>
      </w:r>
      <w:r>
        <w:rPr>
          <w:rFonts w:ascii="Libre Franklin" w:eastAsia="Libre Franklin" w:hAnsi="Libre Franklin" w:cs="Libre Franklin"/>
          <w:b/>
          <w:color w:val="1F3864"/>
          <w:sz w:val="28"/>
          <w:szCs w:val="28"/>
        </w:rPr>
        <w:t>U.S. HUNTINGTON’S DISEASE TREATMENT MARKET, BY TREATMENT TYPE</w:t>
      </w:r>
    </w:p>
    <w:p w:rsidR="00ED60AD" w:rsidRDefault="00DB1B51">
      <w:pPr>
        <w:spacing w:before="240"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6.1</w:t>
      </w:r>
      <w:r>
        <w:rPr>
          <w:rFonts w:ascii="Libre Franklin" w:eastAsia="Libre Franklin" w:hAnsi="Libre Franklin" w:cs="Libre Franklin"/>
          <w:b/>
          <w:color w:val="1F3864"/>
        </w:rPr>
        <w:t xml:space="preserve"> </w:t>
      </w:r>
      <w:r>
        <w:rPr>
          <w:rFonts w:ascii="Libre Franklin" w:eastAsia="Libre Franklin" w:hAnsi="Libre Franklin" w:cs="Libre Franklin"/>
          <w:color w:val="1F3864"/>
        </w:rPr>
        <w:t>Overview</w:t>
      </w:r>
    </w:p>
    <w:p w:rsidR="00ED60AD" w:rsidRDefault="00DB1B51">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lastRenderedPageBreak/>
        <w:t>6.2 Symptomatic Treatment</w:t>
      </w:r>
    </w:p>
    <w:p w:rsidR="00ED60AD" w:rsidRDefault="00DB1B51">
      <w:pPr>
        <w:numPr>
          <w:ilvl w:val="1"/>
          <w:numId w:val="6"/>
        </w:numPr>
        <w:pBdr>
          <w:top w:val="nil"/>
          <w:left w:val="nil"/>
          <w:bottom w:val="nil"/>
          <w:right w:val="nil"/>
          <w:between w:val="nil"/>
        </w:pBd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Disease-Modifying Treatment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40"/>
          <w:szCs w:val="40"/>
        </w:rPr>
        <w:t>7</w:t>
      </w:r>
      <w:r>
        <w:rPr>
          <w:rFonts w:ascii="Libre Franklin" w:eastAsia="Libre Franklin" w:hAnsi="Libre Franklin" w:cs="Libre Franklin"/>
          <w:b/>
          <w:color w:val="1F3864"/>
          <w:sz w:val="28"/>
          <w:szCs w:val="28"/>
        </w:rPr>
        <w:t xml:space="preserve"> U.S. </w:t>
      </w:r>
      <w:proofErr w:type="gramStart"/>
      <w:r>
        <w:rPr>
          <w:rFonts w:ascii="Libre Franklin" w:eastAsia="Libre Franklin" w:hAnsi="Libre Franklin" w:cs="Libre Franklin"/>
          <w:b/>
          <w:color w:val="1F3864"/>
          <w:sz w:val="28"/>
          <w:szCs w:val="28"/>
        </w:rPr>
        <w:t>Huntington’s Disease</w:t>
      </w:r>
      <w:proofErr w:type="gramEnd"/>
      <w:r>
        <w:rPr>
          <w:rFonts w:ascii="Libre Franklin" w:eastAsia="Libre Franklin" w:hAnsi="Libre Franklin" w:cs="Libre Franklin"/>
          <w:b/>
          <w:color w:val="1F3864"/>
          <w:sz w:val="28"/>
          <w:szCs w:val="28"/>
        </w:rPr>
        <w:t xml:space="preserve"> Treatment Market, By Age</w:t>
      </w:r>
    </w:p>
    <w:p w:rsidR="00ED60AD" w:rsidRDefault="00DB1B51">
      <w:pPr>
        <w:spacing w:line="480" w:lineRule="auto"/>
        <w:jc w:val="both"/>
        <w:rPr>
          <w:rFonts w:ascii="Libre Franklin" w:eastAsia="Libre Franklin" w:hAnsi="Libre Franklin" w:cs="Libre Franklin"/>
          <w:b/>
          <w:color w:val="1F3864"/>
        </w:rPr>
      </w:pPr>
      <w:r>
        <w:rPr>
          <w:rFonts w:ascii="Libre Franklin" w:eastAsia="Libre Franklin" w:hAnsi="Libre Franklin" w:cs="Libre Franklin"/>
          <w:color w:val="1F3864"/>
        </w:rPr>
        <w:t>7.1 Overview</w:t>
      </w:r>
    </w:p>
    <w:p w:rsidR="00ED60AD" w:rsidRDefault="00DB1B51">
      <w:pPr>
        <w:spacing w:line="480" w:lineRule="auto"/>
        <w:jc w:val="both"/>
        <w:rPr>
          <w:rFonts w:ascii="Libre Franklin" w:eastAsia="Libre Franklin" w:hAnsi="Libre Franklin" w:cs="Libre Franklin"/>
          <w:b/>
          <w:color w:val="1F3864"/>
        </w:rPr>
      </w:pPr>
      <w:r>
        <w:rPr>
          <w:rFonts w:ascii="Libre Franklin" w:eastAsia="Libre Franklin" w:hAnsi="Libre Franklin" w:cs="Libre Franklin"/>
          <w:color w:val="1F3864"/>
        </w:rPr>
        <w:t>7.2</w:t>
      </w:r>
      <w:r>
        <w:rPr>
          <w:rFonts w:ascii="Libre Franklin" w:eastAsia="Libre Franklin" w:hAnsi="Libre Franklin" w:cs="Libre Franklin"/>
          <w:b/>
          <w:color w:val="1F3864"/>
        </w:rPr>
        <w:t xml:space="preserve"> </w:t>
      </w:r>
      <w:r>
        <w:rPr>
          <w:rFonts w:ascii="Libre Franklin" w:eastAsia="Libre Franklin" w:hAnsi="Libre Franklin" w:cs="Libre Franklin"/>
          <w:color w:val="1F3864"/>
        </w:rPr>
        <w:t>Below 60 years</w:t>
      </w:r>
    </w:p>
    <w:p w:rsidR="00ED60AD" w:rsidRDefault="00DB1B51">
      <w:pPr>
        <w:spacing w:line="480" w:lineRule="auto"/>
        <w:rPr>
          <w:rFonts w:ascii="Libre Franklin" w:eastAsia="Libre Franklin" w:hAnsi="Libre Franklin" w:cs="Libre Franklin"/>
          <w:color w:val="1F3864"/>
        </w:rPr>
      </w:pPr>
      <w:r>
        <w:rPr>
          <w:rFonts w:ascii="Libre Franklin" w:eastAsia="Libre Franklin" w:hAnsi="Libre Franklin" w:cs="Libre Franklin"/>
          <w:color w:val="1F3864"/>
        </w:rPr>
        <w:t>7.3 Above 60 years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noProof/>
          <w:color w:val="1F3864"/>
          <w:lang w:eastAsia="en-IN"/>
        </w:rPr>
        <w:drawing>
          <wp:anchor distT="0" distB="0" distL="0" distR="0" simplePos="0" relativeHeight="251666432" behindDoc="1" locked="0" layoutInCell="1" hidden="0" allowOverlap="1">
            <wp:simplePos x="0" y="0"/>
            <wp:positionH relativeFrom="page">
              <wp:posOffset>-1295399</wp:posOffset>
            </wp:positionH>
            <wp:positionV relativeFrom="margin">
              <wp:align>center</wp:align>
            </wp:positionV>
            <wp:extent cx="10220215" cy="14454202"/>
            <wp:effectExtent l="0" t="0" r="0" b="0"/>
            <wp:wrapNone/>
            <wp:docPr id="213825603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40"/>
          <w:szCs w:val="40"/>
        </w:rPr>
        <w:t>8</w:t>
      </w:r>
      <w:r>
        <w:rPr>
          <w:rFonts w:ascii="Libre Franklin" w:eastAsia="Libre Franklin" w:hAnsi="Libre Franklin" w:cs="Libre Franklin"/>
          <w:b/>
          <w:color w:val="1F3864"/>
        </w:rPr>
        <w:t xml:space="preserve"> </w:t>
      </w:r>
      <w:r>
        <w:rPr>
          <w:rFonts w:ascii="Libre Franklin" w:eastAsia="Libre Franklin" w:hAnsi="Libre Franklin" w:cs="Libre Franklin"/>
          <w:b/>
          <w:color w:val="1F3864"/>
          <w:sz w:val="28"/>
          <w:szCs w:val="28"/>
        </w:rPr>
        <w:t>U.S. HUNTINGTON’S DISEASE TREATMENT MARKET, BY END USER</w:t>
      </w:r>
    </w:p>
    <w:p w:rsidR="00ED60AD" w:rsidRDefault="00DB1B51">
      <w:pPr>
        <w:spacing w:line="480" w:lineRule="auto"/>
        <w:rPr>
          <w:rFonts w:ascii="Libre Franklin" w:eastAsia="Libre Franklin" w:hAnsi="Libre Franklin" w:cs="Libre Franklin"/>
          <w:color w:val="002060"/>
        </w:rPr>
      </w:pPr>
      <w:r>
        <w:t xml:space="preserve">  </w:t>
      </w:r>
      <w:r>
        <w:rPr>
          <w:rFonts w:ascii="Libre Franklin" w:eastAsia="Libre Franklin" w:hAnsi="Libre Franklin" w:cs="Libre Franklin"/>
          <w:color w:val="002060"/>
        </w:rPr>
        <w:t>8.1 Overview</w:t>
      </w:r>
    </w:p>
    <w:p w:rsidR="00ED60AD" w:rsidRDefault="00DB1B51">
      <w:pPr>
        <w:spacing w:line="480" w:lineRule="auto"/>
        <w:rPr>
          <w:rFonts w:ascii="Libre Franklin" w:eastAsia="Libre Franklin" w:hAnsi="Libre Franklin" w:cs="Libre Franklin"/>
          <w:color w:val="002060"/>
        </w:rPr>
      </w:pPr>
      <w:r>
        <w:rPr>
          <w:rFonts w:ascii="Libre Franklin" w:eastAsia="Libre Franklin" w:hAnsi="Libre Franklin" w:cs="Libre Franklin"/>
          <w:color w:val="002060"/>
        </w:rPr>
        <w:t xml:space="preserve">  8.2 Hospitals</w:t>
      </w:r>
    </w:p>
    <w:p w:rsidR="00ED60AD" w:rsidRDefault="00DB1B51">
      <w:pPr>
        <w:spacing w:line="480" w:lineRule="auto"/>
        <w:rPr>
          <w:rFonts w:ascii="Libre Franklin" w:eastAsia="Libre Franklin" w:hAnsi="Libre Franklin" w:cs="Libre Franklin"/>
          <w:color w:val="002060"/>
        </w:rPr>
      </w:pPr>
      <w:r>
        <w:rPr>
          <w:rFonts w:ascii="Libre Franklin" w:eastAsia="Libre Franklin" w:hAnsi="Libre Franklin" w:cs="Libre Franklin"/>
          <w:color w:val="002060"/>
        </w:rPr>
        <w:t xml:space="preserve">  8.3 Specialty Clinics</w:t>
      </w:r>
    </w:p>
    <w:p w:rsidR="00ED60AD" w:rsidRDefault="00DB1B51">
      <w:pPr>
        <w:spacing w:line="480" w:lineRule="auto"/>
        <w:rPr>
          <w:rFonts w:ascii="Libre Franklin" w:eastAsia="Libre Franklin" w:hAnsi="Libre Franklin" w:cs="Libre Franklin"/>
          <w:color w:val="002060"/>
        </w:rPr>
      </w:pPr>
      <w:r>
        <w:rPr>
          <w:rFonts w:ascii="Libre Franklin" w:eastAsia="Libre Franklin" w:hAnsi="Libre Franklin" w:cs="Libre Franklin"/>
          <w:color w:val="002060"/>
        </w:rPr>
        <w:t xml:space="preserve"> 8.4 Homecare Settings</w:t>
      </w:r>
    </w:p>
    <w:p w:rsidR="00ED60AD" w:rsidRDefault="00DB1B51">
      <w:pPr>
        <w:spacing w:line="480" w:lineRule="auto"/>
        <w:rPr>
          <w:rFonts w:ascii="Libre Franklin" w:eastAsia="Libre Franklin" w:hAnsi="Libre Franklin" w:cs="Libre Franklin"/>
          <w:color w:val="002060"/>
        </w:rPr>
      </w:pPr>
      <w:r>
        <w:rPr>
          <w:rFonts w:ascii="Libre Franklin" w:eastAsia="Libre Franklin" w:hAnsi="Libre Franklin" w:cs="Libre Franklin"/>
          <w:color w:val="002060"/>
        </w:rPr>
        <w:t xml:space="preserve"> 8.5 Research &amp; Academic Institutes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8"/>
          <w:szCs w:val="28"/>
        </w:rPr>
      </w:pPr>
      <w:r>
        <w:rPr>
          <w:rFonts w:ascii="Libre Franklin" w:eastAsia="Libre Franklin" w:hAnsi="Libre Franklin" w:cs="Libre Franklin"/>
          <w:b/>
          <w:color w:val="1F3864"/>
          <w:sz w:val="40"/>
          <w:szCs w:val="40"/>
        </w:rPr>
        <w:t xml:space="preserve">9 </w:t>
      </w:r>
      <w:r>
        <w:rPr>
          <w:rFonts w:ascii="Libre Franklin" w:eastAsia="Libre Franklin" w:hAnsi="Libre Franklin" w:cs="Libre Franklin"/>
          <w:b/>
          <w:color w:val="1F3864"/>
          <w:sz w:val="28"/>
          <w:szCs w:val="28"/>
        </w:rPr>
        <w:t>U.S. HUNTINGTON’S DISEASE TREATMENT MARKET COMPETITIVE LANDSCAPE</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9.1 Overview</w:t>
      </w:r>
    </w:p>
    <w:p w:rsidR="00ED60AD" w:rsidRDefault="00DB1B51">
      <w:pPr>
        <w:numPr>
          <w:ilvl w:val="1"/>
          <w:numId w:val="7"/>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Company Market Ranking</w:t>
      </w:r>
    </w:p>
    <w:p w:rsidR="00ED60AD" w:rsidRDefault="00DB1B51">
      <w:pPr>
        <w:numPr>
          <w:ilvl w:val="1"/>
          <w:numId w:val="7"/>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Key Development Strategies</w:t>
      </w:r>
    </w:p>
    <w:p w:rsidR="00ED60AD" w:rsidRDefault="00DB1B51">
      <w:pPr>
        <w:numPr>
          <w:ilvl w:val="0"/>
          <w:numId w:val="7"/>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b/>
          <w:color w:val="1F3864"/>
          <w:sz w:val="28"/>
          <w:szCs w:val="28"/>
        </w:rPr>
        <w:t xml:space="preserve"> COMPANY PROFILES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bookmarkStart w:id="1" w:name="_heading=h.roead0mnrz8" w:colFirst="0" w:colLast="0"/>
      <w:bookmarkEnd w:id="1"/>
      <w:r>
        <w:rPr>
          <w:rFonts w:ascii="Libre Franklin" w:eastAsia="Libre Franklin" w:hAnsi="Libre Franklin" w:cs="Libre Franklin"/>
          <w:b/>
          <w:color w:val="1F3864"/>
        </w:rPr>
        <w:t xml:space="preserve">10.1 </w:t>
      </w:r>
      <w:proofErr w:type="spellStart"/>
      <w:r>
        <w:rPr>
          <w:rFonts w:ascii="Libre Franklin" w:eastAsia="Libre Franklin" w:hAnsi="Libre Franklin" w:cs="Libre Franklin"/>
          <w:b/>
          <w:color w:val="1F3864"/>
        </w:rPr>
        <w:t>Teva</w:t>
      </w:r>
      <w:proofErr w:type="spellEnd"/>
      <w:r>
        <w:rPr>
          <w:rFonts w:ascii="Libre Franklin" w:eastAsia="Libre Franklin" w:hAnsi="Libre Franklin" w:cs="Libre Franklin"/>
          <w:b/>
          <w:color w:val="1F3864"/>
        </w:rPr>
        <w:t xml:space="preserve"> Pharmaceutical Industries Ltd</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lastRenderedPageBreak/>
        <w:t xml:space="preserve">                         </w:t>
      </w:r>
      <w:r>
        <w:rPr>
          <w:rFonts w:ascii="Libre Franklin" w:eastAsia="Libre Franklin" w:hAnsi="Libre Franklin" w:cs="Libre Franklin"/>
          <w:color w:val="1F3864"/>
        </w:rPr>
        <w:t>10.1.1</w:t>
      </w:r>
      <w:r>
        <w:rPr>
          <w:rFonts w:ascii="Libre Franklin" w:eastAsia="Libre Franklin" w:hAnsi="Libre Franklin" w:cs="Libre Franklin"/>
          <w:b/>
          <w:color w:val="1F3864"/>
        </w:rPr>
        <w:t xml:space="preserve"> </w:t>
      </w:r>
      <w:r>
        <w:rPr>
          <w:rFonts w:ascii="Libre Franklin" w:eastAsia="Libre Franklin" w:hAnsi="Libre Franklin" w:cs="Libre Franklin"/>
          <w:color w:val="1F3864"/>
        </w:rPr>
        <w:t>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bookmarkStart w:id="2" w:name="_heading=h.55l45by5yart" w:colFirst="0" w:colLast="0"/>
      <w:bookmarkEnd w:id="2"/>
      <w:r>
        <w:rPr>
          <w:rFonts w:ascii="Libre Franklin" w:eastAsia="Libre Franklin" w:hAnsi="Libre Franklin" w:cs="Libre Franklin"/>
          <w:b/>
          <w:color w:val="1F3864"/>
        </w:rPr>
        <w:t>10.2 Novartis AG</w:t>
      </w:r>
    </w:p>
    <w:p w:rsidR="00ED60AD" w:rsidRDefault="00DB1B51">
      <w:pPr>
        <w:pStyle w:val="Heading3"/>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                         10.2.1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10.2.2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10.2.3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10.2.4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10.3 </w:t>
      </w:r>
      <w:proofErr w:type="spellStart"/>
      <w:r>
        <w:rPr>
          <w:rFonts w:ascii="Libre Franklin" w:eastAsia="Libre Franklin" w:hAnsi="Libre Franklin" w:cs="Libre Franklin"/>
          <w:b/>
          <w:color w:val="1F3864"/>
        </w:rPr>
        <w:t>Neurocrine</w:t>
      </w:r>
      <w:proofErr w:type="spellEnd"/>
      <w:r>
        <w:rPr>
          <w:rFonts w:ascii="Libre Franklin" w:eastAsia="Libre Franklin" w:hAnsi="Libre Franklin" w:cs="Libre Franklin"/>
          <w:b/>
          <w:color w:val="1F3864"/>
        </w:rPr>
        <w:t xml:space="preserve"> Biosciences, </w:t>
      </w:r>
      <w:proofErr w:type="spellStart"/>
      <w:r>
        <w:rPr>
          <w:rFonts w:ascii="Libre Franklin" w:eastAsia="Libre Franklin" w:hAnsi="Libre Franklin" w:cs="Libre Franklin"/>
          <w:b/>
          <w:color w:val="1F3864"/>
        </w:rPr>
        <w:t>Inc</w:t>
      </w:r>
      <w:proofErr w:type="spellEnd"/>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noProof/>
          <w:lang w:eastAsia="en-IN"/>
        </w:rPr>
        <w:drawing>
          <wp:anchor distT="0" distB="0" distL="0" distR="0" simplePos="0" relativeHeight="251667456" behindDoc="1" locked="0" layoutInCell="1" hidden="0" allowOverlap="1">
            <wp:simplePos x="0" y="0"/>
            <wp:positionH relativeFrom="page">
              <wp:align>left</wp:align>
            </wp:positionH>
            <wp:positionV relativeFrom="page">
              <wp:posOffset>-1748788</wp:posOffset>
            </wp:positionV>
            <wp:extent cx="10220215" cy="14454202"/>
            <wp:effectExtent l="0" t="0" r="0" b="0"/>
            <wp:wrapNone/>
            <wp:docPr id="213825603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10.3.1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10.4 Eisai </w:t>
      </w:r>
      <w:proofErr w:type="spellStart"/>
      <w:r>
        <w:rPr>
          <w:rFonts w:ascii="Libre Franklin" w:eastAsia="Libre Franklin" w:hAnsi="Libre Franklin" w:cs="Libre Franklin"/>
          <w:b/>
          <w:color w:val="1F3864"/>
        </w:rPr>
        <w:t>Co.Ltd</w:t>
      </w:r>
      <w:proofErr w:type="spellEnd"/>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10.5 Sun Pharmaceutical</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10.5.1Overview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10.5.2 Financia</w:t>
      </w:r>
      <w:r>
        <w:rPr>
          <w:rFonts w:ascii="Libre Franklin" w:eastAsia="Libre Franklin" w:hAnsi="Libre Franklin" w:cs="Libre Franklin"/>
          <w:color w:val="1F3864"/>
          <w:sz w:val="24"/>
          <w:szCs w:val="24"/>
        </w:rPr>
        <w:t>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10.6 H. </w:t>
      </w:r>
      <w:proofErr w:type="spellStart"/>
      <w:r>
        <w:rPr>
          <w:rFonts w:ascii="Libre Franklin" w:eastAsia="Libre Franklin" w:hAnsi="Libre Franklin" w:cs="Libre Franklin"/>
          <w:b/>
          <w:color w:val="1F3864"/>
        </w:rPr>
        <w:t>Lundbeck</w:t>
      </w:r>
      <w:proofErr w:type="spellEnd"/>
      <w:r>
        <w:rPr>
          <w:rFonts w:ascii="Libre Franklin" w:eastAsia="Libre Franklin" w:hAnsi="Libre Franklin" w:cs="Libre Franklin"/>
          <w:b/>
          <w:color w:val="1F3864"/>
        </w:rPr>
        <w:t xml:space="preserve"> A/S </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u w:val="single"/>
        </w:rPr>
      </w:pPr>
      <w:r>
        <w:rPr>
          <w:rFonts w:ascii="Libre Franklin" w:eastAsia="Libre Franklin" w:hAnsi="Libre Franklin" w:cs="Libre Franklin"/>
          <w:color w:val="1F3864"/>
          <w:sz w:val="24"/>
          <w:szCs w:val="24"/>
        </w:rPr>
        <w:t>10.6.4 Key Development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u w:val="single"/>
        </w:rPr>
      </w:pPr>
      <w:r>
        <w:rPr>
          <w:rFonts w:ascii="Libre Franklin" w:eastAsia="Libre Franklin" w:hAnsi="Libre Franklin" w:cs="Libre Franklin"/>
          <w:b/>
          <w:color w:val="1F3864"/>
        </w:rPr>
        <w:t xml:space="preserve">10.7 Bausch Health Companies </w:t>
      </w:r>
      <w:proofErr w:type="spellStart"/>
      <w:r>
        <w:rPr>
          <w:rFonts w:ascii="Libre Franklin" w:eastAsia="Libre Franklin" w:hAnsi="Libre Franklin" w:cs="Libre Franklin"/>
          <w:b/>
          <w:color w:val="1F3864"/>
        </w:rPr>
        <w:t>Inc</w:t>
      </w:r>
      <w:proofErr w:type="spellEnd"/>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noProof/>
          <w:lang w:eastAsia="en-IN"/>
        </w:rPr>
        <w:drawing>
          <wp:anchor distT="0" distB="0" distL="0" distR="0" simplePos="0" relativeHeight="251668480" behindDoc="1" locked="0" layoutInCell="1" hidden="0" allowOverlap="1">
            <wp:simplePos x="0" y="0"/>
            <wp:positionH relativeFrom="page">
              <wp:posOffset>-533399</wp:posOffset>
            </wp:positionH>
            <wp:positionV relativeFrom="page">
              <wp:posOffset>-1321434</wp:posOffset>
            </wp:positionV>
            <wp:extent cx="10220215" cy="14454202"/>
            <wp:effectExtent l="0" t="0" r="0" b="0"/>
            <wp:wrapNone/>
            <wp:docPr id="21382560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10.7.1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10.8 </w:t>
      </w:r>
      <w:proofErr w:type="spellStart"/>
      <w:r>
        <w:rPr>
          <w:rFonts w:ascii="Libre Franklin" w:eastAsia="Libre Franklin" w:hAnsi="Libre Franklin" w:cs="Libre Franklin"/>
          <w:b/>
          <w:color w:val="1F3864"/>
        </w:rPr>
        <w:t>Dr.</w:t>
      </w:r>
      <w:proofErr w:type="spellEnd"/>
      <w:r>
        <w:rPr>
          <w:rFonts w:ascii="Libre Franklin" w:eastAsia="Libre Franklin" w:hAnsi="Libre Franklin" w:cs="Libre Franklin"/>
          <w:b/>
          <w:color w:val="1F3864"/>
        </w:rPr>
        <w:t xml:space="preserve"> Reddy’s Laboratories Ltd</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10.8.4 Key 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10.9 </w:t>
      </w:r>
      <w:proofErr w:type="spellStart"/>
      <w:r>
        <w:rPr>
          <w:rFonts w:ascii="Libre Franklin" w:eastAsia="Libre Franklin" w:hAnsi="Libre Franklin" w:cs="Libre Franklin"/>
          <w:b/>
          <w:color w:val="1F3864"/>
        </w:rPr>
        <w:t>Lupin</w:t>
      </w:r>
      <w:proofErr w:type="spellEnd"/>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10.9.1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w:t>
      </w:r>
      <w:r>
        <w:rPr>
          <w:rFonts w:ascii="Libre Franklin" w:eastAsia="Libre Franklin" w:hAnsi="Libre Franklin" w:cs="Libre Franklin"/>
          <w:color w:val="1F3864"/>
          <w:sz w:val="24"/>
          <w:szCs w:val="24"/>
        </w:rPr>
        <w:t>.4 Key Development</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rPr>
        <w:t>10.10 Hetero</w:t>
      </w:r>
    </w:p>
    <w:p w:rsidR="00ED60AD" w:rsidRDefault="00DB1B51">
      <w:pPr>
        <w:pStyle w:val="Heading3"/>
        <w:numPr>
          <w:ilvl w:val="2"/>
          <w:numId w:val="8"/>
        </w:num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10.10.2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10.10.3 Product Outlook</w:t>
      </w:r>
    </w:p>
    <w:p w:rsidR="00ED60AD" w:rsidRDefault="00DB1B51">
      <w:pPr>
        <w:pStyle w:val="Heading3"/>
        <w:numPr>
          <w:ilvl w:val="2"/>
          <w:numId w:val="12"/>
        </w:num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Key Development</w:t>
      </w:r>
    </w:p>
    <w:p w:rsidR="00ED60AD" w:rsidRDefault="00DB1B51">
      <w:pPr>
        <w:rPr>
          <w:rFonts w:ascii="Libre Franklin" w:eastAsia="Libre Franklin" w:hAnsi="Libre Franklin" w:cs="Libre Franklin"/>
          <w:b/>
          <w:color w:val="002060"/>
        </w:rPr>
      </w:pPr>
      <w:r>
        <w:rPr>
          <w:rFonts w:ascii="Libre Franklin" w:eastAsia="Libre Franklin" w:hAnsi="Libre Franklin" w:cs="Libre Franklin"/>
          <w:b/>
          <w:color w:val="002060"/>
        </w:rPr>
        <w:t>10.11 Roche Ltd.</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10.11.01Overview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10.11.3 Product Outlook</w:t>
      </w:r>
    </w:p>
    <w:p w:rsidR="00ED60AD" w:rsidRDefault="00DB1B51">
      <w:pPr>
        <w:pStyle w:val="Heading3"/>
        <w:numPr>
          <w:ilvl w:val="2"/>
          <w:numId w:val="13"/>
        </w:num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Key Development</w:t>
      </w:r>
    </w:p>
    <w:p w:rsidR="00ED60AD" w:rsidRDefault="00ED60AD">
      <w:pPr>
        <w:rPr>
          <w:rFonts w:ascii="Libre Franklin" w:eastAsia="Libre Franklin" w:hAnsi="Libre Franklin" w:cs="Libre Franklin"/>
          <w:b/>
          <w:color w:val="002060"/>
        </w:rPr>
      </w:pPr>
    </w:p>
    <w:p w:rsidR="00ED60AD" w:rsidRDefault="00DB1B51">
      <w:pPr>
        <w:rPr>
          <w:rFonts w:ascii="Libre Franklin" w:eastAsia="Libre Franklin" w:hAnsi="Libre Franklin" w:cs="Libre Franklin"/>
          <w:b/>
          <w:color w:val="002060"/>
        </w:rPr>
      </w:pPr>
      <w:r>
        <w:rPr>
          <w:noProof/>
          <w:lang w:eastAsia="en-IN"/>
        </w:rPr>
        <w:drawing>
          <wp:anchor distT="0" distB="0" distL="0" distR="0" simplePos="0" relativeHeight="251669504" behindDoc="1" locked="0" layoutInCell="1" hidden="0" allowOverlap="1">
            <wp:simplePos x="0" y="0"/>
            <wp:positionH relativeFrom="page">
              <wp:posOffset>-1269999</wp:posOffset>
            </wp:positionH>
            <wp:positionV relativeFrom="margin">
              <wp:align>center</wp:align>
            </wp:positionV>
            <wp:extent cx="10220215" cy="14454202"/>
            <wp:effectExtent l="0" t="0" r="0" b="0"/>
            <wp:wrapNone/>
            <wp:docPr id="213825603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rPr>
        <w:t xml:space="preserve">10.12 </w:t>
      </w:r>
      <w:proofErr w:type="spellStart"/>
      <w:r>
        <w:rPr>
          <w:rFonts w:ascii="Libre Franklin" w:eastAsia="Libre Franklin" w:hAnsi="Libre Franklin" w:cs="Libre Franklin"/>
          <w:b/>
          <w:color w:val="002060"/>
        </w:rPr>
        <w:t>Prilenia</w:t>
      </w:r>
      <w:proofErr w:type="spellEnd"/>
      <w:r>
        <w:rPr>
          <w:rFonts w:ascii="Libre Franklin" w:eastAsia="Libre Franklin" w:hAnsi="Libre Franklin" w:cs="Libre Franklin"/>
          <w:b/>
          <w:color w:val="002060"/>
        </w:rPr>
        <w:t xml:space="preserve"> Therapeutic</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10.12.4 Key Development</w:t>
      </w:r>
    </w:p>
    <w:p w:rsidR="00ED60AD" w:rsidRDefault="00ED60AD">
      <w:pPr>
        <w:rPr>
          <w:rFonts w:ascii="Libre Franklin" w:eastAsia="Libre Franklin" w:hAnsi="Libre Franklin" w:cs="Libre Franklin"/>
          <w:b/>
          <w:color w:val="002060"/>
        </w:rPr>
      </w:pPr>
    </w:p>
    <w:p w:rsidR="00ED60AD" w:rsidRDefault="00DB1B51">
      <w:pPr>
        <w:rPr>
          <w:rFonts w:ascii="Libre Franklin" w:eastAsia="Libre Franklin" w:hAnsi="Libre Franklin" w:cs="Libre Franklin"/>
          <w:b/>
          <w:color w:val="002060"/>
        </w:rPr>
      </w:pPr>
      <w:r>
        <w:rPr>
          <w:rFonts w:ascii="Libre Franklin" w:eastAsia="Libre Franklin" w:hAnsi="Libre Franklin" w:cs="Libre Franklin"/>
          <w:b/>
          <w:color w:val="002060"/>
        </w:rPr>
        <w:t xml:space="preserve">10.13 </w:t>
      </w:r>
      <w:proofErr w:type="spellStart"/>
      <w:r>
        <w:rPr>
          <w:rFonts w:ascii="Libre Franklin" w:eastAsia="Libre Franklin" w:hAnsi="Libre Franklin" w:cs="Libre Franklin"/>
          <w:b/>
          <w:color w:val="002060"/>
        </w:rPr>
        <w:t>Neurocrine</w:t>
      </w:r>
      <w:proofErr w:type="spellEnd"/>
      <w:r>
        <w:rPr>
          <w:rFonts w:ascii="Libre Franklin" w:eastAsia="Libre Franklin" w:hAnsi="Libre Franklin" w:cs="Libre Franklin"/>
          <w:b/>
          <w:color w:val="002060"/>
        </w:rPr>
        <w:t xml:space="preserve"> Biosciences</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10.13.1 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10.13.4 Key Development</w:t>
      </w:r>
    </w:p>
    <w:p w:rsidR="00ED60AD" w:rsidRDefault="00ED60AD">
      <w:pPr>
        <w:rPr>
          <w:rFonts w:ascii="Libre Franklin" w:eastAsia="Libre Franklin" w:hAnsi="Libre Franklin" w:cs="Libre Franklin"/>
          <w:b/>
          <w:color w:val="002060"/>
        </w:rPr>
      </w:pPr>
    </w:p>
    <w:p w:rsidR="00ED60AD" w:rsidRDefault="00DB1B51">
      <w:pPr>
        <w:rPr>
          <w:rFonts w:ascii="Libre Franklin" w:eastAsia="Libre Franklin" w:hAnsi="Libre Franklin" w:cs="Libre Franklin"/>
          <w:b/>
          <w:color w:val="002060"/>
        </w:rPr>
      </w:pPr>
      <w:r>
        <w:rPr>
          <w:rFonts w:ascii="Libre Franklin" w:eastAsia="Libre Franklin" w:hAnsi="Libre Franklin" w:cs="Libre Franklin"/>
          <w:b/>
          <w:color w:val="002060"/>
        </w:rPr>
        <w:t xml:space="preserve">10.14 </w:t>
      </w:r>
      <w:proofErr w:type="spellStart"/>
      <w:r>
        <w:rPr>
          <w:rFonts w:ascii="Libre Franklin" w:eastAsia="Libre Franklin" w:hAnsi="Libre Franklin" w:cs="Libre Franklin"/>
          <w:b/>
          <w:color w:val="002060"/>
        </w:rPr>
        <w:t>Annexon</w:t>
      </w:r>
      <w:proofErr w:type="spellEnd"/>
      <w:r>
        <w:rPr>
          <w:rFonts w:ascii="Libre Franklin" w:eastAsia="Libre Franklin" w:hAnsi="Libre Franklin" w:cs="Libre Franklin"/>
          <w:b/>
          <w:color w:val="002060"/>
        </w:rPr>
        <w:t>, Inc.</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10.14.4 Key Development</w:t>
      </w:r>
    </w:p>
    <w:p w:rsidR="00ED60AD" w:rsidRDefault="00ED60AD">
      <w:pPr>
        <w:rPr>
          <w:rFonts w:ascii="Libre Franklin" w:eastAsia="Libre Franklin" w:hAnsi="Libre Franklin" w:cs="Libre Franklin"/>
          <w:b/>
          <w:color w:val="002060"/>
        </w:rPr>
      </w:pPr>
    </w:p>
    <w:p w:rsidR="00ED60AD" w:rsidRDefault="00DB1B51">
      <w:pPr>
        <w:rPr>
          <w:rFonts w:ascii="Libre Franklin" w:eastAsia="Libre Franklin" w:hAnsi="Libre Franklin" w:cs="Libre Franklin"/>
          <w:b/>
          <w:color w:val="002060"/>
        </w:rPr>
      </w:pPr>
      <w:r>
        <w:rPr>
          <w:rFonts w:ascii="Libre Franklin" w:eastAsia="Libre Franklin" w:hAnsi="Libre Franklin" w:cs="Libre Franklin"/>
          <w:b/>
          <w:color w:val="002060"/>
        </w:rPr>
        <w:t xml:space="preserve">10.15 </w:t>
      </w:r>
      <w:proofErr w:type="spellStart"/>
      <w:r>
        <w:rPr>
          <w:rFonts w:ascii="Libre Franklin" w:eastAsia="Libre Franklin" w:hAnsi="Libre Franklin" w:cs="Libre Franklin"/>
          <w:b/>
          <w:color w:val="002060"/>
        </w:rPr>
        <w:t>Atalanta</w:t>
      </w:r>
      <w:proofErr w:type="spellEnd"/>
      <w:r>
        <w:rPr>
          <w:rFonts w:ascii="Libre Franklin" w:eastAsia="Libre Franklin" w:hAnsi="Libre Franklin" w:cs="Libre Franklin"/>
          <w:b/>
          <w:color w:val="002060"/>
        </w:rPr>
        <w:t xml:space="preserve"> Therapeutics</w:t>
      </w:r>
    </w:p>
    <w:p w:rsidR="00ED60AD" w:rsidRDefault="00DB1B51">
      <w:pPr>
        <w:pStyle w:val="Heading3"/>
        <w:spacing w:line="360" w:lineRule="auto"/>
        <w:ind w:left="156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10.15.1Overview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10.15.2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10.15.3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10.15.4 Key Development</w:t>
      </w:r>
    </w:p>
    <w:p w:rsidR="00ED60AD" w:rsidRDefault="00ED60AD">
      <w:pPr>
        <w:rPr>
          <w:rFonts w:ascii="Libre Franklin" w:eastAsia="Libre Franklin" w:hAnsi="Libre Franklin" w:cs="Libre Franklin"/>
          <w:b/>
          <w:color w:val="002060"/>
        </w:rPr>
      </w:pPr>
    </w:p>
    <w:p w:rsidR="00ED60AD" w:rsidRDefault="00DB1B51">
      <w:pPr>
        <w:rPr>
          <w:rFonts w:ascii="Libre Franklin" w:eastAsia="Libre Franklin" w:hAnsi="Libre Franklin" w:cs="Libre Franklin"/>
          <w:b/>
          <w:color w:val="002060"/>
        </w:rPr>
      </w:pPr>
      <w:r>
        <w:rPr>
          <w:rFonts w:ascii="Libre Franklin" w:eastAsia="Libre Franklin" w:hAnsi="Libre Franklin" w:cs="Libre Franklin"/>
          <w:b/>
          <w:color w:val="002060"/>
        </w:rPr>
        <w:t xml:space="preserve">10.16 </w:t>
      </w:r>
      <w:proofErr w:type="spellStart"/>
      <w:r>
        <w:rPr>
          <w:rFonts w:ascii="Libre Franklin" w:eastAsia="Libre Franklin" w:hAnsi="Libre Franklin" w:cs="Libre Franklin"/>
          <w:b/>
          <w:color w:val="002060"/>
        </w:rPr>
        <w:t>Neurimmune</w:t>
      </w:r>
      <w:proofErr w:type="spellEnd"/>
      <w:r>
        <w:rPr>
          <w:rFonts w:ascii="Libre Franklin" w:eastAsia="Libre Franklin" w:hAnsi="Libre Franklin" w:cs="Libre Franklin"/>
          <w:b/>
          <w:color w:val="002060"/>
        </w:rPr>
        <w:t xml:space="preserve"> AG</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10.16.1Overview</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10.16.2 Financial Performance</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10.16.3 Product Outlook</w:t>
      </w:r>
    </w:p>
    <w:p w:rsidR="00ED60AD" w:rsidRDefault="00DB1B51">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10.16.4 Key Development</w:t>
      </w:r>
    </w:p>
    <w:p w:rsidR="00ED60AD" w:rsidRDefault="00ED60AD"/>
    <w:p w:rsidR="00ED60AD" w:rsidRDefault="00DB1B51">
      <w:pPr>
        <w:numPr>
          <w:ilvl w:val="0"/>
          <w:numId w:val="13"/>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36"/>
          <w:szCs w:val="36"/>
        </w:rPr>
      </w:pPr>
      <w:r>
        <w:rPr>
          <w:rFonts w:ascii="Libre Franklin" w:eastAsia="Libre Franklin" w:hAnsi="Libre Franklin" w:cs="Libre Franklin"/>
          <w:b/>
          <w:color w:val="1F3864"/>
          <w:sz w:val="28"/>
          <w:szCs w:val="28"/>
        </w:rPr>
        <w:t>KEY DEVELOPMENTS</w:t>
      </w:r>
    </w:p>
    <w:p w:rsidR="00ED60AD" w:rsidRDefault="00DB1B51">
      <w:pPr>
        <w:pBdr>
          <w:top w:val="nil"/>
          <w:left w:val="nil"/>
          <w:bottom w:val="nil"/>
          <w:right w:val="nil"/>
          <w:between w:val="nil"/>
        </w:pBdr>
        <w:tabs>
          <w:tab w:val="left" w:pos="540"/>
          <w:tab w:val="right" w:pos="10260"/>
        </w:tabs>
        <w:spacing w:before="240" w:after="60" w:line="360" w:lineRule="auto"/>
        <w:ind w:left="120" w:right="864"/>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11.1Product Launches/Developments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11.2</w:t>
      </w:r>
      <w:r>
        <w:rPr>
          <w:rFonts w:ascii="Libre Franklin" w:eastAsia="Libre Franklin" w:hAnsi="Libre Franklin" w:cs="Libre Franklin"/>
          <w:b/>
          <w:color w:val="1F3864"/>
        </w:rPr>
        <w:t xml:space="preserve"> </w:t>
      </w:r>
      <w:r>
        <w:rPr>
          <w:rFonts w:ascii="Libre Franklin" w:eastAsia="Libre Franklin" w:hAnsi="Libre Franklin" w:cs="Libre Franklin"/>
          <w:color w:val="1F3864"/>
        </w:rPr>
        <w:t>Mergers and Acquisitions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rPr>
      </w:pPr>
      <w:r>
        <w:rPr>
          <w:rFonts w:ascii="Libre Franklin" w:eastAsia="Libre Franklin" w:hAnsi="Libre Franklin" w:cs="Libre Franklin"/>
          <w:color w:val="1F3864"/>
        </w:rPr>
        <w:lastRenderedPageBreak/>
        <w:t xml:space="preserve">   11.3 Business Expansions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noProof/>
          <w:color w:val="1F3864"/>
          <w:lang w:eastAsia="en-IN"/>
        </w:rPr>
        <w:drawing>
          <wp:anchor distT="0" distB="0" distL="0" distR="0" simplePos="0" relativeHeight="251670528" behindDoc="1" locked="0" layoutInCell="1" hidden="0" allowOverlap="1">
            <wp:simplePos x="0" y="0"/>
            <wp:positionH relativeFrom="page">
              <wp:posOffset>-495299</wp:posOffset>
            </wp:positionH>
            <wp:positionV relativeFrom="page">
              <wp:posOffset>-731519</wp:posOffset>
            </wp:positionV>
            <wp:extent cx="10220215" cy="14454202"/>
            <wp:effectExtent l="0" t="0" r="0" b="0"/>
            <wp:wrapNone/>
            <wp:docPr id="21382560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rPr>
        <w:t xml:space="preserve">   11.4 Partnerships and Collaborations</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36"/>
          <w:szCs w:val="36"/>
        </w:rPr>
      </w:pPr>
      <w:r>
        <w:rPr>
          <w:rFonts w:ascii="Libre Franklin" w:eastAsia="Libre Franklin" w:hAnsi="Libre Franklin" w:cs="Libre Franklin"/>
          <w:b/>
          <w:color w:val="1F3864"/>
          <w:sz w:val="36"/>
          <w:szCs w:val="36"/>
        </w:rPr>
        <w:t xml:space="preserve">12 </w:t>
      </w:r>
      <w:r>
        <w:rPr>
          <w:rFonts w:ascii="Libre Franklin" w:eastAsia="Libre Franklin" w:hAnsi="Libre Franklin" w:cs="Libre Franklin"/>
          <w:b/>
          <w:color w:val="1F3864"/>
          <w:sz w:val="28"/>
          <w:szCs w:val="28"/>
        </w:rPr>
        <w:t>Appendix</w:t>
      </w:r>
    </w:p>
    <w:p w:rsidR="00ED60AD" w:rsidRDefault="00DB1B51">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color w:val="1F3864"/>
        </w:rPr>
        <w:t xml:space="preserve">    12.1</w:t>
      </w:r>
      <w:r>
        <w:rPr>
          <w:rFonts w:ascii="Libre Franklin" w:eastAsia="Libre Franklin" w:hAnsi="Libre Franklin" w:cs="Libre Franklin"/>
          <w:b/>
          <w:color w:val="1F3864"/>
        </w:rPr>
        <w:t xml:space="preserve"> </w:t>
      </w:r>
      <w:r>
        <w:rPr>
          <w:rFonts w:ascii="Libre Franklin" w:eastAsia="Libre Franklin" w:hAnsi="Libre Franklin" w:cs="Libre Franklin"/>
          <w:color w:val="1F3864"/>
        </w:rPr>
        <w:t>Related Research</w:t>
      </w:r>
    </w:p>
    <w:p w:rsidR="00ED60AD" w:rsidRDefault="00ED60AD"/>
    <w:sectPr w:rsidR="00ED60A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ibre Frankli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CDF"/>
    <w:multiLevelType w:val="multilevel"/>
    <w:tmpl w:val="8B221254"/>
    <w:lvl w:ilvl="0">
      <w:start w:val="9"/>
      <w:numFmt w:val="decimal"/>
      <w:lvlText w:val="%1"/>
      <w:lvlJc w:val="left"/>
      <w:pPr>
        <w:ind w:left="360" w:hanging="360"/>
      </w:pPr>
      <w:rPr>
        <w:b/>
        <w:sz w:val="40"/>
        <w:szCs w:val="40"/>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98851ED"/>
    <w:multiLevelType w:val="multilevel"/>
    <w:tmpl w:val="78F6D322"/>
    <w:lvl w:ilvl="0">
      <w:start w:val="4"/>
      <w:numFmt w:val="decimal"/>
      <w:lvlText w:val="%1"/>
      <w:lvlJc w:val="left"/>
      <w:pPr>
        <w:ind w:left="360" w:hanging="360"/>
      </w:pPr>
      <w:rPr>
        <w:sz w:val="40"/>
        <w:szCs w:val="40"/>
      </w:r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205637E5"/>
    <w:multiLevelType w:val="multilevel"/>
    <w:tmpl w:val="345E5858"/>
    <w:lvl w:ilvl="0">
      <w:start w:val="10"/>
      <w:numFmt w:val="decimal"/>
      <w:lvlText w:val="%1"/>
      <w:lvlJc w:val="left"/>
      <w:pPr>
        <w:ind w:left="840" w:hanging="840"/>
      </w:pPr>
    </w:lvl>
    <w:lvl w:ilvl="1">
      <w:start w:val="10"/>
      <w:numFmt w:val="decimal"/>
      <w:lvlText w:val="%1.%2"/>
      <w:lvlJc w:val="left"/>
      <w:pPr>
        <w:ind w:left="1605" w:hanging="840"/>
      </w:pPr>
    </w:lvl>
    <w:lvl w:ilvl="2">
      <w:start w:val="4"/>
      <w:numFmt w:val="decimal"/>
      <w:lvlText w:val="%1.%2.%3"/>
      <w:lvlJc w:val="left"/>
      <w:pPr>
        <w:ind w:left="2370" w:hanging="840"/>
      </w:pPr>
    </w:lvl>
    <w:lvl w:ilvl="3">
      <w:start w:val="1"/>
      <w:numFmt w:val="decimal"/>
      <w:lvlText w:val="%1.%2.%3.%4"/>
      <w:lvlJc w:val="left"/>
      <w:pPr>
        <w:ind w:left="3375" w:hanging="1080"/>
      </w:pPr>
    </w:lvl>
    <w:lvl w:ilvl="4">
      <w:start w:val="1"/>
      <w:numFmt w:val="decimal"/>
      <w:lvlText w:val="%1.%2.%3.%4.%5"/>
      <w:lvlJc w:val="left"/>
      <w:pPr>
        <w:ind w:left="4140" w:hanging="1080"/>
      </w:pPr>
    </w:lvl>
    <w:lvl w:ilvl="5">
      <w:start w:val="1"/>
      <w:numFmt w:val="decimal"/>
      <w:lvlText w:val="%1.%2.%3.%4.%5.%6"/>
      <w:lvlJc w:val="left"/>
      <w:pPr>
        <w:ind w:left="5265" w:hanging="1440"/>
      </w:pPr>
    </w:lvl>
    <w:lvl w:ilvl="6">
      <w:start w:val="1"/>
      <w:numFmt w:val="decimal"/>
      <w:lvlText w:val="%1.%2.%3.%4.%5.%6.%7"/>
      <w:lvlJc w:val="left"/>
      <w:pPr>
        <w:ind w:left="6030" w:hanging="1440"/>
      </w:pPr>
    </w:lvl>
    <w:lvl w:ilvl="7">
      <w:start w:val="1"/>
      <w:numFmt w:val="decimal"/>
      <w:lvlText w:val="%1.%2.%3.%4.%5.%6.%7.%8"/>
      <w:lvlJc w:val="left"/>
      <w:pPr>
        <w:ind w:left="7155" w:hanging="1800"/>
      </w:pPr>
    </w:lvl>
    <w:lvl w:ilvl="8">
      <w:start w:val="1"/>
      <w:numFmt w:val="decimal"/>
      <w:lvlText w:val="%1.%2.%3.%4.%5.%6.%7.%8.%9"/>
      <w:lvlJc w:val="left"/>
      <w:pPr>
        <w:ind w:left="7920" w:hanging="1800"/>
      </w:pPr>
    </w:lvl>
  </w:abstractNum>
  <w:abstractNum w:abstractNumId="3" w15:restartNumberingAfterBreak="0">
    <w:nsid w:val="2650014B"/>
    <w:multiLevelType w:val="multilevel"/>
    <w:tmpl w:val="A0D47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D66B82"/>
    <w:multiLevelType w:val="multilevel"/>
    <w:tmpl w:val="694AAE7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 w15:restartNumberingAfterBreak="0">
    <w:nsid w:val="374335BF"/>
    <w:multiLevelType w:val="multilevel"/>
    <w:tmpl w:val="4BCA0B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9633D36"/>
    <w:multiLevelType w:val="multilevel"/>
    <w:tmpl w:val="ED94D792"/>
    <w:lvl w:ilvl="0">
      <w:start w:val="10"/>
      <w:numFmt w:val="decimal"/>
      <w:lvlText w:val="%1"/>
      <w:lvlJc w:val="left"/>
      <w:pPr>
        <w:ind w:left="840" w:hanging="840"/>
      </w:pPr>
    </w:lvl>
    <w:lvl w:ilvl="1">
      <w:start w:val="10"/>
      <w:numFmt w:val="decimal"/>
      <w:lvlText w:val="%1.%2"/>
      <w:lvlJc w:val="left"/>
      <w:pPr>
        <w:ind w:left="1605" w:hanging="840"/>
      </w:pPr>
    </w:lvl>
    <w:lvl w:ilvl="2">
      <w:start w:val="1"/>
      <w:numFmt w:val="decimal"/>
      <w:lvlText w:val="%1.%2.%3"/>
      <w:lvlJc w:val="left"/>
      <w:pPr>
        <w:ind w:left="2370" w:hanging="840"/>
      </w:pPr>
    </w:lvl>
    <w:lvl w:ilvl="3">
      <w:start w:val="1"/>
      <w:numFmt w:val="decimal"/>
      <w:lvlText w:val="%1.%2.%3.%4"/>
      <w:lvlJc w:val="left"/>
      <w:pPr>
        <w:ind w:left="3375" w:hanging="1080"/>
      </w:pPr>
    </w:lvl>
    <w:lvl w:ilvl="4">
      <w:start w:val="1"/>
      <w:numFmt w:val="decimal"/>
      <w:lvlText w:val="%1.%2.%3.%4.%5"/>
      <w:lvlJc w:val="left"/>
      <w:pPr>
        <w:ind w:left="4140" w:hanging="1080"/>
      </w:pPr>
    </w:lvl>
    <w:lvl w:ilvl="5">
      <w:start w:val="1"/>
      <w:numFmt w:val="decimal"/>
      <w:lvlText w:val="%1.%2.%3.%4.%5.%6"/>
      <w:lvlJc w:val="left"/>
      <w:pPr>
        <w:ind w:left="5265" w:hanging="1440"/>
      </w:pPr>
    </w:lvl>
    <w:lvl w:ilvl="6">
      <w:start w:val="1"/>
      <w:numFmt w:val="decimal"/>
      <w:lvlText w:val="%1.%2.%3.%4.%5.%6.%7"/>
      <w:lvlJc w:val="left"/>
      <w:pPr>
        <w:ind w:left="6030" w:hanging="1440"/>
      </w:pPr>
    </w:lvl>
    <w:lvl w:ilvl="7">
      <w:start w:val="1"/>
      <w:numFmt w:val="decimal"/>
      <w:lvlText w:val="%1.%2.%3.%4.%5.%6.%7.%8"/>
      <w:lvlJc w:val="left"/>
      <w:pPr>
        <w:ind w:left="7155" w:hanging="1800"/>
      </w:pPr>
    </w:lvl>
    <w:lvl w:ilvl="8">
      <w:start w:val="1"/>
      <w:numFmt w:val="decimal"/>
      <w:lvlText w:val="%1.%2.%3.%4.%5.%6.%7.%8.%9"/>
      <w:lvlJc w:val="left"/>
      <w:pPr>
        <w:ind w:left="7920" w:hanging="1800"/>
      </w:pPr>
    </w:lvl>
  </w:abstractNum>
  <w:abstractNum w:abstractNumId="7" w15:restartNumberingAfterBreak="0">
    <w:nsid w:val="42712CA2"/>
    <w:multiLevelType w:val="multilevel"/>
    <w:tmpl w:val="1F1E110A"/>
    <w:lvl w:ilvl="0">
      <w:start w:val="10"/>
      <w:numFmt w:val="decimal"/>
      <w:lvlText w:val="%1"/>
      <w:lvlJc w:val="left"/>
      <w:pPr>
        <w:ind w:left="840" w:hanging="840"/>
      </w:pPr>
    </w:lvl>
    <w:lvl w:ilvl="1">
      <w:start w:val="11"/>
      <w:numFmt w:val="decimal"/>
      <w:lvlText w:val="%1.%2"/>
      <w:lvlJc w:val="left"/>
      <w:pPr>
        <w:ind w:left="1605" w:hanging="840"/>
      </w:pPr>
    </w:lvl>
    <w:lvl w:ilvl="2">
      <w:start w:val="4"/>
      <w:numFmt w:val="decimal"/>
      <w:lvlText w:val="%1.%2.%3"/>
      <w:lvlJc w:val="left"/>
      <w:pPr>
        <w:ind w:left="2370" w:hanging="840"/>
      </w:pPr>
    </w:lvl>
    <w:lvl w:ilvl="3">
      <w:start w:val="1"/>
      <w:numFmt w:val="decimal"/>
      <w:lvlText w:val="%1.%2.%3.%4"/>
      <w:lvlJc w:val="left"/>
      <w:pPr>
        <w:ind w:left="3375" w:hanging="1080"/>
      </w:pPr>
    </w:lvl>
    <w:lvl w:ilvl="4">
      <w:start w:val="1"/>
      <w:numFmt w:val="decimal"/>
      <w:lvlText w:val="%1.%2.%3.%4.%5"/>
      <w:lvlJc w:val="left"/>
      <w:pPr>
        <w:ind w:left="4140" w:hanging="1080"/>
      </w:pPr>
    </w:lvl>
    <w:lvl w:ilvl="5">
      <w:start w:val="1"/>
      <w:numFmt w:val="decimal"/>
      <w:lvlText w:val="%1.%2.%3.%4.%5.%6"/>
      <w:lvlJc w:val="left"/>
      <w:pPr>
        <w:ind w:left="5265" w:hanging="1440"/>
      </w:pPr>
    </w:lvl>
    <w:lvl w:ilvl="6">
      <w:start w:val="1"/>
      <w:numFmt w:val="decimal"/>
      <w:lvlText w:val="%1.%2.%3.%4.%5.%6.%7"/>
      <w:lvlJc w:val="left"/>
      <w:pPr>
        <w:ind w:left="6030" w:hanging="1440"/>
      </w:pPr>
    </w:lvl>
    <w:lvl w:ilvl="7">
      <w:start w:val="1"/>
      <w:numFmt w:val="decimal"/>
      <w:lvlText w:val="%1.%2.%3.%4.%5.%6.%7.%8"/>
      <w:lvlJc w:val="left"/>
      <w:pPr>
        <w:ind w:left="7155" w:hanging="1800"/>
      </w:pPr>
    </w:lvl>
    <w:lvl w:ilvl="8">
      <w:start w:val="1"/>
      <w:numFmt w:val="decimal"/>
      <w:lvlText w:val="%1.%2.%3.%4.%5.%6.%7.%8.%9"/>
      <w:lvlJc w:val="left"/>
      <w:pPr>
        <w:ind w:left="7920" w:hanging="1800"/>
      </w:pPr>
    </w:lvl>
  </w:abstractNum>
  <w:abstractNum w:abstractNumId="8" w15:restartNumberingAfterBreak="0">
    <w:nsid w:val="42E0503D"/>
    <w:multiLevelType w:val="multilevel"/>
    <w:tmpl w:val="FF867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9F747AD"/>
    <w:multiLevelType w:val="multilevel"/>
    <w:tmpl w:val="F6968B3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4D4F0F78"/>
    <w:multiLevelType w:val="multilevel"/>
    <w:tmpl w:val="249CC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2379DD"/>
    <w:multiLevelType w:val="multilevel"/>
    <w:tmpl w:val="D0F85CEC"/>
    <w:lvl w:ilvl="0">
      <w:start w:val="1"/>
      <w:numFmt w:val="bullet"/>
      <w:lvlText w:val="▪"/>
      <w:lvlJc w:val="left"/>
      <w:pPr>
        <w:ind w:left="2227" w:hanging="360"/>
      </w:pPr>
      <w:rPr>
        <w:rFonts w:ascii="Noto Sans Symbols" w:eastAsia="Noto Sans Symbols" w:hAnsi="Noto Sans Symbols" w:cs="Noto Sans Symbols"/>
      </w:rPr>
    </w:lvl>
    <w:lvl w:ilvl="1">
      <w:start w:val="1"/>
      <w:numFmt w:val="bullet"/>
      <w:lvlText w:val="o"/>
      <w:lvlJc w:val="left"/>
      <w:pPr>
        <w:ind w:left="2947" w:hanging="360"/>
      </w:pPr>
      <w:rPr>
        <w:rFonts w:ascii="Courier New" w:eastAsia="Courier New" w:hAnsi="Courier New" w:cs="Courier New"/>
      </w:rPr>
    </w:lvl>
    <w:lvl w:ilvl="2">
      <w:start w:val="1"/>
      <w:numFmt w:val="bullet"/>
      <w:lvlText w:val="▪"/>
      <w:lvlJc w:val="left"/>
      <w:pPr>
        <w:ind w:left="3667" w:hanging="360"/>
      </w:pPr>
      <w:rPr>
        <w:rFonts w:ascii="Noto Sans Symbols" w:eastAsia="Noto Sans Symbols" w:hAnsi="Noto Sans Symbols" w:cs="Noto Sans Symbols"/>
      </w:rPr>
    </w:lvl>
    <w:lvl w:ilvl="3">
      <w:start w:val="1"/>
      <w:numFmt w:val="bullet"/>
      <w:lvlText w:val="●"/>
      <w:lvlJc w:val="left"/>
      <w:pPr>
        <w:ind w:left="4387" w:hanging="360"/>
      </w:pPr>
      <w:rPr>
        <w:rFonts w:ascii="Noto Sans Symbols" w:eastAsia="Noto Sans Symbols" w:hAnsi="Noto Sans Symbols" w:cs="Noto Sans Symbols"/>
      </w:rPr>
    </w:lvl>
    <w:lvl w:ilvl="4">
      <w:start w:val="1"/>
      <w:numFmt w:val="bullet"/>
      <w:lvlText w:val="o"/>
      <w:lvlJc w:val="left"/>
      <w:pPr>
        <w:ind w:left="5107" w:hanging="360"/>
      </w:pPr>
      <w:rPr>
        <w:rFonts w:ascii="Courier New" w:eastAsia="Courier New" w:hAnsi="Courier New" w:cs="Courier New"/>
      </w:rPr>
    </w:lvl>
    <w:lvl w:ilvl="5">
      <w:start w:val="1"/>
      <w:numFmt w:val="bullet"/>
      <w:lvlText w:val="▪"/>
      <w:lvlJc w:val="left"/>
      <w:pPr>
        <w:ind w:left="5827" w:hanging="360"/>
      </w:pPr>
      <w:rPr>
        <w:rFonts w:ascii="Noto Sans Symbols" w:eastAsia="Noto Sans Symbols" w:hAnsi="Noto Sans Symbols" w:cs="Noto Sans Symbols"/>
      </w:rPr>
    </w:lvl>
    <w:lvl w:ilvl="6">
      <w:start w:val="1"/>
      <w:numFmt w:val="bullet"/>
      <w:lvlText w:val="●"/>
      <w:lvlJc w:val="left"/>
      <w:pPr>
        <w:ind w:left="6547" w:hanging="360"/>
      </w:pPr>
      <w:rPr>
        <w:rFonts w:ascii="Noto Sans Symbols" w:eastAsia="Noto Sans Symbols" w:hAnsi="Noto Sans Symbols" w:cs="Noto Sans Symbols"/>
      </w:rPr>
    </w:lvl>
    <w:lvl w:ilvl="7">
      <w:start w:val="1"/>
      <w:numFmt w:val="bullet"/>
      <w:lvlText w:val="o"/>
      <w:lvlJc w:val="left"/>
      <w:pPr>
        <w:ind w:left="7267" w:hanging="360"/>
      </w:pPr>
      <w:rPr>
        <w:rFonts w:ascii="Courier New" w:eastAsia="Courier New" w:hAnsi="Courier New" w:cs="Courier New"/>
      </w:rPr>
    </w:lvl>
    <w:lvl w:ilvl="8">
      <w:start w:val="1"/>
      <w:numFmt w:val="bullet"/>
      <w:lvlText w:val="▪"/>
      <w:lvlJc w:val="left"/>
      <w:pPr>
        <w:ind w:left="7987" w:hanging="360"/>
      </w:pPr>
      <w:rPr>
        <w:rFonts w:ascii="Noto Sans Symbols" w:eastAsia="Noto Sans Symbols" w:hAnsi="Noto Sans Symbols" w:cs="Noto Sans Symbols"/>
      </w:rPr>
    </w:lvl>
  </w:abstractNum>
  <w:abstractNum w:abstractNumId="12" w15:restartNumberingAfterBreak="0">
    <w:nsid w:val="69CB5CE5"/>
    <w:multiLevelType w:val="multilevel"/>
    <w:tmpl w:val="EC96F0F8"/>
    <w:lvl w:ilvl="0">
      <w:start w:val="6"/>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8"/>
  </w:num>
  <w:num w:numId="2">
    <w:abstractNumId w:val="5"/>
  </w:num>
  <w:num w:numId="3">
    <w:abstractNumId w:val="11"/>
  </w:num>
  <w:num w:numId="4">
    <w:abstractNumId w:val="3"/>
  </w:num>
  <w:num w:numId="5">
    <w:abstractNumId w:val="4"/>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0AD"/>
    <w:rsid w:val="00DB1B51"/>
    <w:rsid w:val="00ED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1DCE"/>
  <w15:docId w15:val="{1BE95F6A-34A8-4548-9584-F7C71A21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19"/>
    <w:rPr>
      <w:lang w:eastAsia="en-GB"/>
    </w:rPr>
  </w:style>
  <w:style w:type="paragraph" w:styleId="Heading1">
    <w:name w:val="heading 1"/>
    <w:basedOn w:val="Normal"/>
    <w:next w:val="Normal"/>
    <w:link w:val="Heading1Char"/>
    <w:uiPriority w:val="9"/>
    <w:qFormat/>
    <w:rsid w:val="00B536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6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36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6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6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6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6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6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6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619"/>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6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6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6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6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6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619"/>
    <w:rPr>
      <w:rFonts w:eastAsiaTheme="majorEastAsia" w:cstheme="majorBidi"/>
      <w:color w:val="272727" w:themeColor="text1" w:themeTint="D8"/>
    </w:rPr>
  </w:style>
  <w:style w:type="character" w:customStyle="1" w:styleId="TitleChar">
    <w:name w:val="Title Char"/>
    <w:basedOn w:val="DefaultParagraphFont"/>
    <w:link w:val="Title"/>
    <w:uiPriority w:val="10"/>
    <w:rsid w:val="00B53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B53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619"/>
    <w:pPr>
      <w:spacing w:before="160"/>
      <w:jc w:val="center"/>
    </w:pPr>
    <w:rPr>
      <w:i/>
      <w:iCs/>
      <w:color w:val="404040" w:themeColor="text1" w:themeTint="BF"/>
    </w:rPr>
  </w:style>
  <w:style w:type="character" w:customStyle="1" w:styleId="QuoteChar">
    <w:name w:val="Quote Char"/>
    <w:basedOn w:val="DefaultParagraphFont"/>
    <w:link w:val="Quote"/>
    <w:uiPriority w:val="29"/>
    <w:rsid w:val="00B53619"/>
    <w:rPr>
      <w:i/>
      <w:iCs/>
      <w:color w:val="404040" w:themeColor="text1" w:themeTint="BF"/>
    </w:rPr>
  </w:style>
  <w:style w:type="paragraph" w:styleId="ListParagraph">
    <w:name w:val="List Paragraph"/>
    <w:aliases w:val="Lists,MnM Disclaimer,list 1"/>
    <w:basedOn w:val="Normal"/>
    <w:link w:val="ListParagraphChar"/>
    <w:uiPriority w:val="34"/>
    <w:qFormat/>
    <w:rsid w:val="00B53619"/>
    <w:pPr>
      <w:ind w:left="720"/>
      <w:contextualSpacing/>
    </w:pPr>
  </w:style>
  <w:style w:type="character" w:styleId="IntenseEmphasis">
    <w:name w:val="Intense Emphasis"/>
    <w:basedOn w:val="DefaultParagraphFont"/>
    <w:uiPriority w:val="21"/>
    <w:qFormat/>
    <w:rsid w:val="00B53619"/>
    <w:rPr>
      <w:i/>
      <w:iCs/>
      <w:color w:val="2F5496" w:themeColor="accent1" w:themeShade="BF"/>
    </w:rPr>
  </w:style>
  <w:style w:type="paragraph" w:styleId="IntenseQuote">
    <w:name w:val="Intense Quote"/>
    <w:basedOn w:val="Normal"/>
    <w:next w:val="Normal"/>
    <w:link w:val="IntenseQuoteChar"/>
    <w:uiPriority w:val="30"/>
    <w:qFormat/>
    <w:rsid w:val="00B536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619"/>
    <w:rPr>
      <w:i/>
      <w:iCs/>
      <w:color w:val="2F5496" w:themeColor="accent1" w:themeShade="BF"/>
    </w:rPr>
  </w:style>
  <w:style w:type="character" w:styleId="IntenseReference">
    <w:name w:val="Intense Reference"/>
    <w:basedOn w:val="DefaultParagraphFont"/>
    <w:uiPriority w:val="32"/>
    <w:qFormat/>
    <w:rsid w:val="00B53619"/>
    <w:rPr>
      <w:b/>
      <w:bCs/>
      <w:smallCaps/>
      <w:color w:val="2F5496" w:themeColor="accent1" w:themeShade="BF"/>
      <w:spacing w:val="5"/>
    </w:rPr>
  </w:style>
  <w:style w:type="character" w:styleId="Hyperlink">
    <w:name w:val="Hyperlink"/>
    <w:uiPriority w:val="99"/>
    <w:rsid w:val="00B53619"/>
    <w:rPr>
      <w:color w:val="0000FF"/>
      <w:u w:val="single"/>
    </w:rPr>
  </w:style>
  <w:style w:type="paragraph" w:styleId="TOC1">
    <w:name w:val="toc 1"/>
    <w:next w:val="Normal"/>
    <w:autoRedefine/>
    <w:uiPriority w:val="39"/>
    <w:qFormat/>
    <w:rsid w:val="00B53619"/>
    <w:pPr>
      <w:tabs>
        <w:tab w:val="left" w:pos="540"/>
        <w:tab w:val="right" w:leader="dot" w:pos="10260"/>
      </w:tabs>
      <w:spacing w:before="240" w:after="60" w:line="360" w:lineRule="auto"/>
      <w:ind w:right="864"/>
      <w:jc w:val="both"/>
    </w:pPr>
    <w:rPr>
      <w:rFonts w:ascii="Franklin Gothic Book" w:eastAsiaTheme="majorEastAsia" w:hAnsi="Franklin Gothic Book"/>
      <w:b/>
      <w:bCs/>
      <w:color w:val="1F3864" w:themeColor="accent1" w:themeShade="80"/>
      <w:lang w:val="en-US"/>
    </w:rPr>
  </w:style>
  <w:style w:type="character" w:customStyle="1" w:styleId="ListParagraphChar">
    <w:name w:val="List Paragraph Char"/>
    <w:aliases w:val="Lists Char,MnM Disclaimer Char,list 1 Char"/>
    <w:basedOn w:val="DefaultParagraphFont"/>
    <w:link w:val="ListParagraph"/>
    <w:uiPriority w:val="34"/>
    <w:locked/>
    <w:rsid w:val="00B53619"/>
  </w:style>
  <w:style w:type="character" w:styleId="Strong">
    <w:name w:val="Strong"/>
    <w:basedOn w:val="DefaultParagraphFont"/>
    <w:uiPriority w:val="22"/>
    <w:qFormat/>
    <w:rsid w:val="00051695"/>
    <w:rPr>
      <w:b/>
      <w:bCs/>
    </w:rPr>
  </w:style>
  <w:style w:type="paragraph" w:styleId="NormalWeb">
    <w:name w:val="Normal (Web)"/>
    <w:basedOn w:val="Normal"/>
    <w:uiPriority w:val="99"/>
    <w:semiHidden/>
    <w:unhideWhenUsed/>
    <w:rsid w:val="0000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EmhvkCXY4PEoPPvfMaWUfry+A==">CgMxLjAyDWgucm9lYWQwbW5yejgyDmguNTVsNDVieTV5YXJ0OAByITFkMGJoaGhjSzFpNFN1bWZia2lyMkc1QmJCYm1BLW5YeQ==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2</cp:revision>
  <dcterms:created xsi:type="dcterms:W3CDTF">2025-04-16T10:59:00Z</dcterms:created>
  <dcterms:modified xsi:type="dcterms:W3CDTF">2025-05-04T17:29:00Z</dcterms:modified>
</cp:coreProperties>
</file>