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745" w:rsidRDefault="003907CE">
      <w:pPr>
        <w:spacing w:line="360" w:lineRule="auto"/>
        <w:jc w:val="both"/>
        <w:rPr>
          <w:rFonts w:ascii="Libre Franklin" w:eastAsia="Libre Franklin" w:hAnsi="Libre Franklin" w:cs="Libre Franklin"/>
          <w:b/>
          <w:color w:val="002060"/>
          <w:sz w:val="24"/>
          <w:szCs w:val="24"/>
        </w:rPr>
      </w:pPr>
      <w:bookmarkStart w:id="0" w:name="_heading=h.w7s3secyrk75" w:colFirst="0" w:colLast="0"/>
      <w:bookmarkEnd w:id="0"/>
      <w:r>
        <w:rPr>
          <w:rFonts w:ascii="Libre Franklin" w:eastAsia="Libre Franklin" w:hAnsi="Libre Franklin" w:cs="Libre Franklin"/>
          <w:noProof/>
        </w:rPr>
        <w:drawing>
          <wp:anchor distT="0" distB="0" distL="0" distR="0" simplePos="0" relativeHeight="251658240" behindDoc="1" locked="0" layoutInCell="1" hidden="0" allowOverlap="1">
            <wp:simplePos x="0" y="0"/>
            <wp:positionH relativeFrom="page">
              <wp:posOffset>-1752599</wp:posOffset>
            </wp:positionH>
            <wp:positionV relativeFrom="margin">
              <wp:align>center</wp:align>
            </wp:positionV>
            <wp:extent cx="10220215" cy="14454202"/>
            <wp:effectExtent l="0" t="0" r="0" b="0"/>
            <wp:wrapNone/>
            <wp:docPr id="195536784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Metastatic Lung Adenocarcinoma Treatment Market</w:t>
      </w:r>
    </w:p>
    <w:p w:rsidR="00094745" w:rsidRDefault="003907CE">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According to </w:t>
      </w:r>
      <w:proofErr w:type="spellStart"/>
      <w:r>
        <w:rPr>
          <w:rFonts w:ascii="Libre Franklin" w:eastAsia="Libre Franklin" w:hAnsi="Libre Franklin" w:cs="Libre Franklin"/>
          <w:color w:val="002060"/>
          <w:sz w:val="24"/>
          <w:szCs w:val="24"/>
        </w:rPr>
        <w:t>Intelli</w:t>
      </w:r>
      <w:proofErr w:type="spellEnd"/>
      <w:r>
        <w:rPr>
          <w:rFonts w:ascii="Libre Franklin" w:eastAsia="Libre Franklin" w:hAnsi="Libre Franklin" w:cs="Libre Franklin"/>
          <w:color w:val="002060"/>
          <w:sz w:val="24"/>
          <w:szCs w:val="24"/>
        </w:rPr>
        <w:t>, the U.S. Metastatic Lung Adenocarcinoma Treatment Market size was valued at USD 1,802.31 Million in 2024 and is projected to reach USD 4,052.97 Million by 2032, growing at a CAGR of 11.08% from 2025 to 2032.</w:t>
      </w:r>
    </w:p>
    <w:p w:rsidR="003907CE" w:rsidRDefault="003907CE">
      <w:pPr>
        <w:spacing w:line="360" w:lineRule="auto"/>
        <w:jc w:val="both"/>
        <w:rPr>
          <w:rFonts w:ascii="Libre Franklin" w:eastAsia="Libre Franklin" w:hAnsi="Libre Franklin" w:cs="Libre Franklin"/>
          <w:color w:val="002060"/>
          <w:sz w:val="24"/>
          <w:szCs w:val="24"/>
        </w:rPr>
      </w:pPr>
      <w:bookmarkStart w:id="1" w:name="_GoBack"/>
      <w:r>
        <w:rPr>
          <w:rFonts w:ascii="Libre Franklin" w:eastAsia="Libre Franklin" w:hAnsi="Libre Franklin" w:cs="Libre Franklin"/>
          <w:noProof/>
          <w:color w:val="002060"/>
          <w:sz w:val="24"/>
          <w:szCs w:val="24"/>
        </w:rPr>
        <w:drawing>
          <wp:inline distT="0" distB="0" distL="0" distR="0">
            <wp:extent cx="5731510" cy="2849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Metastatic.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bookmarkEnd w:id="1"/>
    </w:p>
    <w:p w:rsidR="00094745" w:rsidRDefault="003907CE">
      <w:pPr>
        <w:spacing w:line="360" w:lineRule="auto"/>
        <w:jc w:val="both"/>
        <w:rPr>
          <w:rFonts w:ascii="Libre Franklin" w:eastAsia="Libre Franklin" w:hAnsi="Libre Franklin" w:cs="Libre Franklin"/>
          <w:color w:val="002060"/>
          <w:sz w:val="24"/>
          <w:szCs w:val="24"/>
        </w:rPr>
      </w:pPr>
      <w:bookmarkStart w:id="2" w:name="_heading=h.grc30ym1jekx" w:colFirst="0" w:colLast="0"/>
      <w:bookmarkEnd w:id="2"/>
      <w:r>
        <w:rPr>
          <w:rFonts w:ascii="Libre Franklin" w:eastAsia="Libre Franklin" w:hAnsi="Libre Franklin" w:cs="Libre Franklin"/>
          <w:color w:val="002060"/>
          <w:sz w:val="24"/>
          <w:szCs w:val="24"/>
        </w:rPr>
        <w:t>Metastatic Lung Adenocarci</w:t>
      </w:r>
      <w:r>
        <w:rPr>
          <w:rFonts w:ascii="Libre Franklin" w:eastAsia="Libre Franklin" w:hAnsi="Libre Franklin" w:cs="Libre Franklin"/>
          <w:color w:val="002060"/>
          <w:sz w:val="24"/>
          <w:szCs w:val="24"/>
        </w:rPr>
        <w:t>noma, the most prevalent subtype of non-small cell lung cancer (NSCLC), represents an advanced and life-threatening stage where cancer cells have spread from the lungs to distant organs such as the brain, bones, liver, or adrenal glands. Lung adenocarcinom</w:t>
      </w:r>
      <w:r>
        <w:rPr>
          <w:rFonts w:ascii="Libre Franklin" w:eastAsia="Libre Franklin" w:hAnsi="Libre Franklin" w:cs="Libre Franklin"/>
          <w:color w:val="002060"/>
          <w:sz w:val="24"/>
          <w:szCs w:val="24"/>
        </w:rPr>
        <w:t xml:space="preserve">a originates from glandular cells lining the alveoli and typically develops in the outer regions of the lungs. Metastasis occurs through </w:t>
      </w:r>
      <w:proofErr w:type="spellStart"/>
      <w:r>
        <w:rPr>
          <w:rFonts w:ascii="Libre Franklin" w:eastAsia="Libre Franklin" w:hAnsi="Libre Franklin" w:cs="Libre Franklin"/>
          <w:color w:val="002060"/>
          <w:sz w:val="24"/>
          <w:szCs w:val="24"/>
        </w:rPr>
        <w:t>hematogenous</w:t>
      </w:r>
      <w:proofErr w:type="spellEnd"/>
      <w:r>
        <w:rPr>
          <w:rFonts w:ascii="Libre Franklin" w:eastAsia="Libre Franklin" w:hAnsi="Libre Franklin" w:cs="Libre Franklin"/>
          <w:color w:val="002060"/>
          <w:sz w:val="24"/>
          <w:szCs w:val="24"/>
        </w:rPr>
        <w:t xml:space="preserve"> or lymphatic dissemination, often silently, until symptoms like persistent cough, </w:t>
      </w:r>
      <w:proofErr w:type="spellStart"/>
      <w:r>
        <w:rPr>
          <w:rFonts w:ascii="Libre Franklin" w:eastAsia="Libre Franklin" w:hAnsi="Libre Franklin" w:cs="Libre Franklin"/>
          <w:color w:val="002060"/>
          <w:sz w:val="24"/>
          <w:szCs w:val="24"/>
        </w:rPr>
        <w:t>hemoptysis</w:t>
      </w:r>
      <w:proofErr w:type="spellEnd"/>
      <w:r>
        <w:rPr>
          <w:rFonts w:ascii="Libre Franklin" w:eastAsia="Libre Franklin" w:hAnsi="Libre Franklin" w:cs="Libre Franklin"/>
          <w:color w:val="002060"/>
          <w:sz w:val="24"/>
          <w:szCs w:val="24"/>
        </w:rPr>
        <w:t xml:space="preserve">, chest pain, </w:t>
      </w:r>
      <w:r>
        <w:rPr>
          <w:rFonts w:ascii="Libre Franklin" w:eastAsia="Libre Franklin" w:hAnsi="Libre Franklin" w:cs="Libre Franklin"/>
          <w:color w:val="002060"/>
          <w:sz w:val="24"/>
          <w:szCs w:val="24"/>
        </w:rPr>
        <w:t xml:space="preserve">weight loss, or neurological deficits manifest. Diagnosis involves imaging techniques (CT, PET-CT, MRI), followed by biopsy and molecular testing to identify genetic mutations or biomarkers such as EGFR, ALK, ROS1, KRAS, BRAF, MET, and PD-L1 </w:t>
      </w:r>
      <w:proofErr w:type="gramStart"/>
      <w:r>
        <w:rPr>
          <w:rFonts w:ascii="Libre Franklin" w:eastAsia="Libre Franklin" w:hAnsi="Libre Franklin" w:cs="Libre Franklin"/>
          <w:color w:val="002060"/>
          <w:sz w:val="24"/>
          <w:szCs w:val="24"/>
        </w:rPr>
        <w:t>expression</w:t>
      </w:r>
      <w:proofErr w:type="gramEnd"/>
      <w:r>
        <w:rPr>
          <w:rFonts w:ascii="Libre Franklin" w:eastAsia="Libre Franklin" w:hAnsi="Libre Franklin" w:cs="Libre Franklin"/>
          <w:color w:val="002060"/>
          <w:sz w:val="24"/>
          <w:szCs w:val="24"/>
        </w:rPr>
        <w:t>, wh</w:t>
      </w:r>
      <w:r>
        <w:rPr>
          <w:rFonts w:ascii="Libre Franklin" w:eastAsia="Libre Franklin" w:hAnsi="Libre Franklin" w:cs="Libre Franklin"/>
          <w:color w:val="002060"/>
          <w:sz w:val="24"/>
          <w:szCs w:val="24"/>
        </w:rPr>
        <w:t>ich critically influence treatment selection. Often diagnosed in both smokers and non-smokers, this form of cancer poses significant clinical challenges due to its aggressive nature and poor prognosis. However, rapid advancements in oncology have revolutio</w:t>
      </w:r>
      <w:r>
        <w:rPr>
          <w:rFonts w:ascii="Libre Franklin" w:eastAsia="Libre Franklin" w:hAnsi="Libre Franklin" w:cs="Libre Franklin"/>
          <w:color w:val="002060"/>
          <w:sz w:val="24"/>
          <w:szCs w:val="24"/>
        </w:rPr>
        <w:t xml:space="preserve">nized its management. Treatment strategies are increasingly personalized, guided by molecular profiling that identifies genetic mutations like EGFR, ALK, ROS1, and KRAS. Targeted therapies, </w:t>
      </w:r>
      <w:r>
        <w:rPr>
          <w:rFonts w:ascii="Libre Franklin" w:eastAsia="Libre Franklin" w:hAnsi="Libre Franklin" w:cs="Libre Franklin"/>
          <w:color w:val="002060"/>
          <w:sz w:val="24"/>
          <w:szCs w:val="24"/>
        </w:rPr>
        <w:lastRenderedPageBreak/>
        <w:t>such as tyrosine kinase inhibitors, have significantly improved ou</w:t>
      </w:r>
      <w:r>
        <w:rPr>
          <w:rFonts w:ascii="Libre Franklin" w:eastAsia="Libre Franklin" w:hAnsi="Libre Franklin" w:cs="Libre Franklin"/>
          <w:color w:val="002060"/>
          <w:sz w:val="24"/>
          <w:szCs w:val="24"/>
        </w:rPr>
        <w:t xml:space="preserve">tcomes for patients with actionable mutations. For those without such mutations, immune checkpoint inhibitors (ICIs), either alone or in combination with chemotherapy, have become frontline therapies, especially in </w:t>
      </w:r>
      <w:proofErr w:type="spellStart"/>
      <w:r>
        <w:rPr>
          <w:rFonts w:ascii="Libre Franklin" w:eastAsia="Libre Franklin" w:hAnsi="Libre Franklin" w:cs="Libre Franklin"/>
          <w:color w:val="002060"/>
          <w:sz w:val="24"/>
          <w:szCs w:val="24"/>
        </w:rPr>
        <w:t>tumors</w:t>
      </w:r>
      <w:proofErr w:type="spellEnd"/>
      <w:r>
        <w:rPr>
          <w:rFonts w:ascii="Libre Franklin" w:eastAsia="Libre Franklin" w:hAnsi="Libre Franklin" w:cs="Libre Franklin"/>
          <w:color w:val="002060"/>
          <w:sz w:val="24"/>
          <w:szCs w:val="24"/>
        </w:rPr>
        <w:t xml:space="preserve"> expressing PD-L1. Platinum-based c</w:t>
      </w:r>
      <w:r>
        <w:rPr>
          <w:rFonts w:ascii="Libre Franklin" w:eastAsia="Libre Franklin" w:hAnsi="Libre Franklin" w:cs="Libre Franklin"/>
          <w:color w:val="002060"/>
          <w:sz w:val="24"/>
          <w:szCs w:val="24"/>
        </w:rPr>
        <w:t xml:space="preserve">hemotherapy remains a vital option, particularly when targeted or immunotherapies are unsuitable. Radiation therapy is used for symptom relief and control of brain or bone metastases. As research advances, novel therapies, including bispecific antibodies, </w:t>
      </w:r>
      <w:r>
        <w:rPr>
          <w:rFonts w:ascii="Libre Franklin" w:eastAsia="Libre Franklin" w:hAnsi="Libre Franklin" w:cs="Libre Franklin"/>
          <w:color w:val="002060"/>
          <w:sz w:val="24"/>
          <w:szCs w:val="24"/>
        </w:rPr>
        <w:t>next-generation targeted agents, and cell-based immunotherapies offer hope for improved survival and quality of life.</w:t>
      </w:r>
    </w:p>
    <w:p w:rsidR="00094745" w:rsidRDefault="003907CE">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Metastatic Lung Adenocarcinoma Treatment Market Definition</w:t>
      </w:r>
    </w:p>
    <w:p w:rsidR="00094745" w:rsidRDefault="003907CE">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-939799</wp:posOffset>
            </wp:positionH>
            <wp:positionV relativeFrom="page">
              <wp:posOffset>9982200</wp:posOffset>
            </wp:positionV>
            <wp:extent cx="10220215" cy="14454202"/>
            <wp:effectExtent l="0" t="0" r="0" b="0"/>
            <wp:wrapNone/>
            <wp:docPr id="195536783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noProof/>
        </w:rPr>
        <w:drawing>
          <wp:anchor distT="0" distB="0" distL="0" distR="0" simplePos="0" relativeHeight="251660288" behindDoc="1" locked="0" layoutInCell="1" hidden="0" allowOverlap="1">
            <wp:simplePos x="0" y="0"/>
            <wp:positionH relativeFrom="page">
              <wp:posOffset>-1015999</wp:posOffset>
            </wp:positionH>
            <wp:positionV relativeFrom="page">
              <wp:posOffset>9779000</wp:posOffset>
            </wp:positionV>
            <wp:extent cx="10219690" cy="14453870"/>
            <wp:effectExtent l="0" t="0" r="0" b="0"/>
            <wp:wrapNone/>
            <wp:docPr id="195536784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19690" cy="14453870"/>
                    </a:xfrm>
                    <a:prstGeom prst="rect">
                      <a:avLst/>
                    </a:prstGeom>
                    <a:ln/>
                  </pic:spPr>
                </pic:pic>
              </a:graphicData>
            </a:graphic>
          </wp:anchor>
        </w:drawing>
      </w:r>
      <w:r>
        <w:rPr>
          <w:rFonts w:ascii="Arial" w:eastAsia="Arial" w:hAnsi="Arial" w:cs="Arial"/>
          <w:b/>
          <w:color w:val="002060"/>
          <w:sz w:val="24"/>
          <w:szCs w:val="24"/>
        </w:rPr>
        <w:t>​</w:t>
      </w:r>
      <w:r>
        <w:rPr>
          <w:rFonts w:ascii="Libre Franklin" w:eastAsia="Libre Franklin" w:hAnsi="Libre Franklin" w:cs="Libre Franklin"/>
          <w:color w:val="002060"/>
          <w:sz w:val="24"/>
          <w:szCs w:val="24"/>
        </w:rPr>
        <w:t>The U.S. metastatic lung adenocarcinoma treatment market encompasses th</w:t>
      </w:r>
      <w:r>
        <w:rPr>
          <w:rFonts w:ascii="Libre Franklin" w:eastAsia="Libre Franklin" w:hAnsi="Libre Franklin" w:cs="Libre Franklin"/>
          <w:color w:val="002060"/>
          <w:sz w:val="24"/>
          <w:szCs w:val="24"/>
        </w:rPr>
        <w:t xml:space="preserve">e spectrum of therapies aimed at managing advanced-stage lung adenocarcinoma. This market includes various treatment modalities such as chemotherapy, targeted therapy, immunotherapy, radiation therapy, and supportive care, all designed to improve patient </w:t>
      </w: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margin">
              <wp:align>center</wp:align>
            </wp:positionH>
            <wp:positionV relativeFrom="margin">
              <wp:align>center</wp:align>
            </wp:positionV>
            <wp:extent cx="10220215" cy="14454202"/>
            <wp:effectExtent l="0" t="0" r="0" b="0"/>
            <wp:wrapNone/>
            <wp:docPr id="195536784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outcomes. The U.S. metastatic lung adenocarcinoma treatment market is poised for significant growth, driven by advancements in personalized medicine and a growing focus on improving patient outcomes through innovative therapeutic approaches.</w:t>
      </w:r>
    </w:p>
    <w:p w:rsidR="00094745" w:rsidRDefault="003907CE">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Metastati</w:t>
      </w:r>
      <w:r>
        <w:rPr>
          <w:rFonts w:ascii="Libre Franklin" w:eastAsia="Libre Franklin" w:hAnsi="Libre Franklin" w:cs="Libre Franklin"/>
          <w:b/>
          <w:color w:val="002060"/>
          <w:sz w:val="24"/>
          <w:szCs w:val="24"/>
        </w:rPr>
        <w:t>c Lung Adenocarcinoma Treatment Market Overview</w:t>
      </w:r>
    </w:p>
    <w:p w:rsidR="00094745" w:rsidRDefault="003907CE">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metastatic lung adenocarcinoma treatment market is driven by several key factors that collectively contribute to its rapid growth and innovation. Foremost among these is the rising prevalence of lung</w:t>
      </w:r>
      <w:r>
        <w:rPr>
          <w:rFonts w:ascii="Libre Franklin" w:eastAsia="Libre Franklin" w:hAnsi="Libre Franklin" w:cs="Libre Franklin"/>
          <w:color w:val="002060"/>
          <w:sz w:val="24"/>
          <w:szCs w:val="24"/>
        </w:rPr>
        <w:t xml:space="preserve"> cancer, particularly among aging populations and individuals with a history of smoking or environmental exposure. Advances in diagnostic tools, particularly next-generation sequencing (NGS) have significantly enhanced the ability to detect genetic mutatio</w:t>
      </w:r>
      <w:r>
        <w:rPr>
          <w:rFonts w:ascii="Libre Franklin" w:eastAsia="Libre Franklin" w:hAnsi="Libre Franklin" w:cs="Libre Franklin"/>
          <w:color w:val="002060"/>
          <w:sz w:val="24"/>
          <w:szCs w:val="24"/>
        </w:rPr>
        <w:t>ns with greater accuracy and at earlier stages, paving the way for more personalized and targeted treatment strategies. At the same time, the growing availability of immunotherapy options, notably immune checkpoint inhibitors targeting PD-1/PD-L1 pathways,</w:t>
      </w:r>
      <w:r>
        <w:rPr>
          <w:rFonts w:ascii="Libre Franklin" w:eastAsia="Libre Franklin" w:hAnsi="Libre Franklin" w:cs="Libre Franklin"/>
          <w:color w:val="002060"/>
          <w:sz w:val="24"/>
          <w:szCs w:val="24"/>
        </w:rPr>
        <w:t xml:space="preserve"> has markedly improved patient survival rates and expanded the pool of individuals eligible for these innovative therapies. Furthermore, </w:t>
      </w:r>
      <w:r>
        <w:rPr>
          <w:rFonts w:ascii="Libre Franklin" w:eastAsia="Libre Franklin" w:hAnsi="Libre Franklin" w:cs="Libre Franklin"/>
          <w:color w:val="002060"/>
          <w:sz w:val="24"/>
          <w:szCs w:val="24"/>
        </w:rPr>
        <w:lastRenderedPageBreak/>
        <w:t>heightened investment in research and development by pharmaceutical companies, along with streamlined regulatory approv</w:t>
      </w:r>
      <w:r>
        <w:rPr>
          <w:rFonts w:ascii="Libre Franklin" w:eastAsia="Libre Franklin" w:hAnsi="Libre Franklin" w:cs="Libre Franklin"/>
          <w:color w:val="002060"/>
          <w:sz w:val="24"/>
          <w:szCs w:val="24"/>
        </w:rPr>
        <w:t>al processes, is driving the rapid emergence of innovative treatment options. Growing patient awareness, strengthened healthcare infrastructure, and supportive reimbursement frameworks are also contributing to the market's expansion. In addition, the conti</w:t>
      </w:r>
      <w:r>
        <w:rPr>
          <w:rFonts w:ascii="Libre Franklin" w:eastAsia="Libre Franklin" w:hAnsi="Libre Franklin" w:cs="Libre Franklin"/>
          <w:color w:val="002060"/>
          <w:sz w:val="24"/>
          <w:szCs w:val="24"/>
        </w:rPr>
        <w:t>nued transition toward outpatient care models and the adoption of combination therapy approaches are improving both access to care and treatment effectiveness, further propelling growth in this dynamic and rapidly advancing market.</w:t>
      </w:r>
    </w:p>
    <w:p w:rsidR="00094745" w:rsidRDefault="003907CE">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Metastatic Lung Ade</w:t>
      </w:r>
      <w:r>
        <w:rPr>
          <w:rFonts w:ascii="Libre Franklin" w:eastAsia="Libre Franklin" w:hAnsi="Libre Franklin" w:cs="Libre Franklin"/>
          <w:b/>
          <w:color w:val="002060"/>
          <w:sz w:val="24"/>
          <w:szCs w:val="24"/>
        </w:rPr>
        <w:t>nocarcinoma Treatment Market Segmentation</w:t>
      </w:r>
    </w:p>
    <w:p w:rsidR="00094745" w:rsidRDefault="003907CE">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Metastatic Lung Adenocarcinoma Treatment Market is segmented based on several key parameters to better understand treatment trends, therapeutic approaches, and patient demographics.</w:t>
      </w:r>
    </w:p>
    <w:p w:rsidR="00094745" w:rsidRDefault="003907CE">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Metastatic Lung Ad</w:t>
      </w:r>
      <w:r>
        <w:rPr>
          <w:rFonts w:ascii="Libre Franklin" w:eastAsia="Libre Franklin" w:hAnsi="Libre Franklin" w:cs="Libre Franklin"/>
          <w:b/>
          <w:color w:val="002060"/>
          <w:sz w:val="24"/>
          <w:szCs w:val="24"/>
        </w:rPr>
        <w:t>enocarcinoma Treatment Market, By Therapy Type</w:t>
      </w:r>
    </w:p>
    <w:p w:rsidR="00094745" w:rsidRDefault="003907CE">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Chemotherapy</w:t>
      </w:r>
    </w:p>
    <w:p w:rsidR="00094745" w:rsidRDefault="003907CE">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Targeted Therapy</w:t>
      </w:r>
    </w:p>
    <w:p w:rsidR="00094745" w:rsidRDefault="003907CE">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Radiation Therapy</w:t>
      </w:r>
    </w:p>
    <w:p w:rsidR="00094745" w:rsidRDefault="003907CE">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Immunotherapy</w:t>
      </w:r>
    </w:p>
    <w:p w:rsidR="00094745" w:rsidRDefault="003907CE">
      <w:pPr>
        <w:numPr>
          <w:ilvl w:val="0"/>
          <w:numId w:val="2"/>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Others</w:t>
      </w:r>
    </w:p>
    <w:p w:rsidR="00094745" w:rsidRDefault="003907CE">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rPr>
        <w:drawing>
          <wp:anchor distT="0" distB="0" distL="0" distR="0" simplePos="0" relativeHeight="251662336" behindDoc="1" locked="0" layoutInCell="1" hidden="0" allowOverlap="1">
            <wp:simplePos x="0" y="0"/>
            <wp:positionH relativeFrom="page">
              <wp:posOffset>-507999</wp:posOffset>
            </wp:positionH>
            <wp:positionV relativeFrom="page">
              <wp:posOffset>-908684</wp:posOffset>
            </wp:positionV>
            <wp:extent cx="10220215" cy="14454202"/>
            <wp:effectExtent l="0" t="0" r="0" b="0"/>
            <wp:wrapNone/>
            <wp:docPr id="195536784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The U.S. metastatic lung adenocarcinoma treatment market, segmented by therapy type, is witnessing a transformative shift driven by innovation and precision medicine. Chemotherapy, once the cornerstone of treatment, continues to hold the largest market sha</w:t>
      </w:r>
      <w:r>
        <w:rPr>
          <w:rFonts w:ascii="Libre Franklin" w:eastAsia="Libre Franklin" w:hAnsi="Libre Franklin" w:cs="Libre Franklin"/>
          <w:color w:val="002060"/>
          <w:sz w:val="24"/>
          <w:szCs w:val="24"/>
        </w:rPr>
        <w:t xml:space="preserve">re due to its widespread use across various stages and its role in combination regimens. However, targeted therapy is rapidly gaining ground, </w:t>
      </w:r>
      <w:proofErr w:type="spellStart"/>
      <w:r>
        <w:rPr>
          <w:rFonts w:ascii="Libre Franklin" w:eastAsia="Libre Franklin" w:hAnsi="Libre Franklin" w:cs="Libre Franklin"/>
          <w:color w:val="002060"/>
          <w:sz w:val="24"/>
          <w:szCs w:val="24"/>
        </w:rPr>
        <w:t>fueled</w:t>
      </w:r>
      <w:proofErr w:type="spellEnd"/>
      <w:r>
        <w:rPr>
          <w:rFonts w:ascii="Libre Franklin" w:eastAsia="Libre Franklin" w:hAnsi="Libre Franklin" w:cs="Libre Franklin"/>
          <w:color w:val="002060"/>
          <w:sz w:val="24"/>
          <w:szCs w:val="24"/>
        </w:rPr>
        <w:t xml:space="preserve"> by the increasing use of molecular diagnostics and the growing prevalence of actionable genetic mutations l</w:t>
      </w:r>
      <w:r>
        <w:rPr>
          <w:rFonts w:ascii="Libre Franklin" w:eastAsia="Libre Franklin" w:hAnsi="Libre Franklin" w:cs="Libre Franklin"/>
          <w:color w:val="002060"/>
          <w:sz w:val="24"/>
          <w:szCs w:val="24"/>
        </w:rPr>
        <w:t xml:space="preserve">ike EGFR, and ROS1. Meanwhile, immunotherapy represents the fastest-growing segment, with agents such as PD-1/PD-L1 inhibitors delivering remarkable survival benefits and reshaping treatment paradigms. Radiation therapy remains essential, particularly for </w:t>
      </w:r>
      <w:r>
        <w:rPr>
          <w:rFonts w:ascii="Libre Franklin" w:eastAsia="Libre Franklin" w:hAnsi="Libre Franklin" w:cs="Libre Franklin"/>
          <w:color w:val="002060"/>
          <w:sz w:val="24"/>
          <w:szCs w:val="24"/>
        </w:rPr>
        <w:lastRenderedPageBreak/>
        <w:t>palliative care and managing metastases to the brain and bones. The “Others” category comprising novel agents, anti-angiogenic therapies, and supportive care options, also contributes to the market, reflecting ongoing research and diversification in treatm</w:t>
      </w:r>
      <w:r>
        <w:rPr>
          <w:rFonts w:ascii="Libre Franklin" w:eastAsia="Libre Franklin" w:hAnsi="Libre Franklin" w:cs="Libre Franklin"/>
          <w:color w:val="002060"/>
          <w:sz w:val="24"/>
          <w:szCs w:val="24"/>
        </w:rPr>
        <w:t>ent strategies.</w:t>
      </w:r>
    </w:p>
    <w:p w:rsidR="00094745" w:rsidRDefault="003907CE">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 xml:space="preserve"> U.S. Metastatic Lung Adenocarcinoma Treatment Market, By Route of Administration</w:t>
      </w:r>
    </w:p>
    <w:p w:rsidR="00094745" w:rsidRDefault="003907CE">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Oral</w:t>
      </w:r>
    </w:p>
    <w:p w:rsidR="00094745" w:rsidRDefault="003907CE">
      <w:pPr>
        <w:numPr>
          <w:ilvl w:val="0"/>
          <w:numId w:val="3"/>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Intravenous (IV)</w:t>
      </w:r>
    </w:p>
    <w:p w:rsidR="00094745" w:rsidRDefault="003907CE">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metastatic lung adenocarcinoma treatment market, categorized by route of administration, reflects evolving patient preferences and therapeutic advancements aimed at enhancing both efficacy and convenience. Intravenous (IV) administration currently</w:t>
      </w:r>
      <w:r>
        <w:rPr>
          <w:rFonts w:ascii="Libre Franklin" w:eastAsia="Libre Franklin" w:hAnsi="Libre Franklin" w:cs="Libre Franklin"/>
          <w:color w:val="002060"/>
          <w:sz w:val="24"/>
          <w:szCs w:val="24"/>
        </w:rPr>
        <w:t xml:space="preserve"> dominates the market, primarily due to its use in chemotherapy and immunotherapy. However, the oral segment is experiencing significant growth, driven by the increasing adoption of targeted therapies in pill form, such as tyrosine kinase inhibitors (TKIs)</w:t>
      </w:r>
      <w:r>
        <w:rPr>
          <w:rFonts w:ascii="Libre Franklin" w:eastAsia="Libre Franklin" w:hAnsi="Libre Franklin" w:cs="Libre Franklin"/>
          <w:color w:val="002060"/>
          <w:sz w:val="24"/>
          <w:szCs w:val="24"/>
        </w:rPr>
        <w:t xml:space="preserve"> for EGFR, ALK, and other mutations. Oral therapies offer patients the benefit of at-home administration, improving adherence and quality of life.</w:t>
      </w:r>
    </w:p>
    <w:p w:rsidR="00094745" w:rsidRDefault="003907CE">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U.S. Metastatic Lung Adenocarcinoma Treatment Market, By Distribution Channel</w:t>
      </w:r>
    </w:p>
    <w:p w:rsidR="00094745" w:rsidRDefault="003907CE">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Hospital Pharmacies</w:t>
      </w:r>
    </w:p>
    <w:p w:rsidR="00094745" w:rsidRDefault="003907CE">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Retail Pha</w:t>
      </w:r>
      <w:r>
        <w:rPr>
          <w:rFonts w:ascii="Libre Franklin" w:eastAsia="Libre Franklin" w:hAnsi="Libre Franklin" w:cs="Libre Franklin"/>
          <w:b/>
          <w:color w:val="002060"/>
          <w:sz w:val="24"/>
          <w:szCs w:val="24"/>
        </w:rPr>
        <w:t>rmacies</w:t>
      </w:r>
    </w:p>
    <w:p w:rsidR="00094745" w:rsidRDefault="003907CE">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Online Pharmacies</w:t>
      </w:r>
    </w:p>
    <w:p w:rsidR="00094745" w:rsidRDefault="003907CE">
      <w:pPr>
        <w:numPr>
          <w:ilvl w:val="0"/>
          <w:numId w:val="4"/>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Specialty Clinics and Cancer </w:t>
      </w:r>
      <w:proofErr w:type="spellStart"/>
      <w:r>
        <w:rPr>
          <w:rFonts w:ascii="Libre Franklin" w:eastAsia="Libre Franklin" w:hAnsi="Libre Franklin" w:cs="Libre Franklin"/>
          <w:b/>
          <w:color w:val="002060"/>
          <w:sz w:val="24"/>
          <w:szCs w:val="24"/>
        </w:rPr>
        <w:t>Centers</w:t>
      </w:r>
      <w:proofErr w:type="spellEnd"/>
    </w:p>
    <w:p w:rsidR="00094745" w:rsidRDefault="003907CE">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metastatic lung adenocarcinoma treatment market, segmented by distribution channel, demonstrates a diversified and patient-accessible healthcare delivery system. </w:t>
      </w:r>
      <w:r>
        <w:rPr>
          <w:rFonts w:ascii="Libre Franklin" w:eastAsia="Libre Franklin" w:hAnsi="Libre Franklin" w:cs="Libre Franklin"/>
          <w:noProof/>
        </w:rPr>
        <w:drawing>
          <wp:anchor distT="0" distB="0" distL="0" distR="0" simplePos="0" relativeHeight="251663360" behindDoc="1" locked="0" layoutInCell="1" hidden="0" allowOverlap="1">
            <wp:simplePos x="0" y="0"/>
            <wp:positionH relativeFrom="page">
              <wp:posOffset>-1396999</wp:posOffset>
            </wp:positionH>
            <wp:positionV relativeFrom="page">
              <wp:posOffset>-914399</wp:posOffset>
            </wp:positionV>
            <wp:extent cx="10220215" cy="14454202"/>
            <wp:effectExtent l="0" t="0" r="0" b="0"/>
            <wp:wrapNone/>
            <wp:docPr id="195536784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Hospital pharmacies hold the largest market share, as they are integral in administering complex treatments. Specialty clinics and cancer </w:t>
      </w:r>
      <w:proofErr w:type="spellStart"/>
      <w:r>
        <w:rPr>
          <w:rFonts w:ascii="Libre Franklin" w:eastAsia="Libre Franklin" w:hAnsi="Libre Franklin" w:cs="Libre Franklin"/>
          <w:color w:val="002060"/>
          <w:sz w:val="24"/>
          <w:szCs w:val="24"/>
        </w:rPr>
        <w:t>centers</w:t>
      </w:r>
      <w:proofErr w:type="spellEnd"/>
      <w:r>
        <w:rPr>
          <w:rFonts w:ascii="Libre Franklin" w:eastAsia="Libre Franklin" w:hAnsi="Libre Franklin" w:cs="Libre Franklin"/>
          <w:color w:val="002060"/>
          <w:sz w:val="24"/>
          <w:szCs w:val="24"/>
        </w:rPr>
        <w:t xml:space="preserve"> also contribute significantly, providing personalized treatment regimens </w:t>
      </w:r>
      <w:r>
        <w:rPr>
          <w:rFonts w:ascii="Libre Franklin" w:eastAsia="Libre Franklin" w:hAnsi="Libre Franklin" w:cs="Libre Franklin"/>
          <w:color w:val="002060"/>
          <w:sz w:val="24"/>
          <w:szCs w:val="24"/>
        </w:rPr>
        <w:lastRenderedPageBreak/>
        <w:t>and specialized support, particularly</w:t>
      </w:r>
      <w:r>
        <w:rPr>
          <w:rFonts w:ascii="Libre Franklin" w:eastAsia="Libre Franklin" w:hAnsi="Libre Franklin" w:cs="Libre Franklin"/>
          <w:color w:val="002060"/>
          <w:sz w:val="24"/>
          <w:szCs w:val="24"/>
        </w:rPr>
        <w:t xml:space="preserve"> for patients receiving targeted therapies or participating in clinical trials. Meanwhile, retail pharmacies are becoming increasingly relevant, particularly for dispensing oral targeted therapies, making medications more accessible for long-term outpatien</w:t>
      </w:r>
      <w:r>
        <w:rPr>
          <w:rFonts w:ascii="Libre Franklin" w:eastAsia="Libre Franklin" w:hAnsi="Libre Franklin" w:cs="Libre Franklin"/>
          <w:color w:val="002060"/>
          <w:sz w:val="24"/>
          <w:szCs w:val="24"/>
        </w:rPr>
        <w:t>t management. The online pharmacy segment, though currently smaller in scale, is witnessing rapid growth due to rising digital health adoption, patient convenience, and expanding e-prescription services.</w:t>
      </w:r>
    </w:p>
    <w:p w:rsidR="00094745" w:rsidRDefault="003907CE">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U.S. Metastatic Lung Adenocarcinoma Treatment Marke</w:t>
      </w:r>
      <w:r>
        <w:rPr>
          <w:rFonts w:ascii="Libre Franklin" w:eastAsia="Libre Franklin" w:hAnsi="Libre Franklin" w:cs="Libre Franklin"/>
          <w:b/>
          <w:color w:val="002060"/>
          <w:sz w:val="24"/>
          <w:szCs w:val="24"/>
        </w:rPr>
        <w:t>t,</w:t>
      </w:r>
      <w:r>
        <w:t xml:space="preserve"> </w:t>
      </w:r>
      <w:r>
        <w:rPr>
          <w:rFonts w:ascii="Libre Franklin" w:eastAsia="Libre Franklin" w:hAnsi="Libre Franklin" w:cs="Libre Franklin"/>
          <w:b/>
          <w:color w:val="002060"/>
          <w:sz w:val="24"/>
          <w:szCs w:val="24"/>
        </w:rPr>
        <w:t>By End User</w:t>
      </w:r>
    </w:p>
    <w:p w:rsidR="00094745" w:rsidRDefault="003907CE">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Hospitals</w:t>
      </w:r>
    </w:p>
    <w:p w:rsidR="00094745" w:rsidRDefault="003907CE">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Oncology Clinics</w:t>
      </w:r>
    </w:p>
    <w:p w:rsidR="00094745" w:rsidRDefault="003907CE">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Academic &amp; Research Institutes</w:t>
      </w:r>
    </w:p>
    <w:p w:rsidR="00094745" w:rsidRDefault="003907CE">
      <w:pPr>
        <w:numPr>
          <w:ilvl w:val="0"/>
          <w:numId w:val="5"/>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Homecare Settings</w:t>
      </w:r>
    </w:p>
    <w:p w:rsidR="00094745" w:rsidRDefault="003907CE">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metastatic lung adenocarcinoma treatment market, segmented by end user, highlights the diverse settings in which advanced cancer care is delivered. Hospital</w:t>
      </w:r>
      <w:r>
        <w:rPr>
          <w:rFonts w:ascii="Libre Franklin" w:eastAsia="Libre Franklin" w:hAnsi="Libre Franklin" w:cs="Libre Franklin"/>
          <w:color w:val="002060"/>
          <w:sz w:val="24"/>
          <w:szCs w:val="24"/>
        </w:rPr>
        <w:t xml:space="preserve">s dominate the market share, serving as primary </w:t>
      </w:r>
      <w:proofErr w:type="spellStart"/>
      <w:r>
        <w:rPr>
          <w:rFonts w:ascii="Libre Franklin" w:eastAsia="Libre Franklin" w:hAnsi="Libre Franklin" w:cs="Libre Franklin"/>
          <w:color w:val="002060"/>
          <w:sz w:val="24"/>
          <w:szCs w:val="24"/>
        </w:rPr>
        <w:t>centers</w:t>
      </w:r>
      <w:proofErr w:type="spellEnd"/>
      <w:r>
        <w:rPr>
          <w:rFonts w:ascii="Libre Franklin" w:eastAsia="Libre Franklin" w:hAnsi="Libre Franklin" w:cs="Libre Franklin"/>
          <w:color w:val="002060"/>
          <w:sz w:val="24"/>
          <w:szCs w:val="24"/>
        </w:rPr>
        <w:t xml:space="preserve"> for diagnosis, intensive treatment, and multidisciplinary care. Oncology clinics follow closely, playing a crucial role in providing specialized, ongoing care with a focus on outpatient management and</w:t>
      </w:r>
      <w:r>
        <w:rPr>
          <w:rFonts w:ascii="Libre Franklin" w:eastAsia="Libre Franklin" w:hAnsi="Libre Franklin" w:cs="Libre Franklin"/>
          <w:color w:val="002060"/>
          <w:sz w:val="24"/>
          <w:szCs w:val="24"/>
        </w:rPr>
        <w:t xml:space="preserve"> personalized treatment regimens. Academic and research institutes are pivotal in advancing the market through clinical trials, innovative drug development, and early access to emerging therapies. Meanwhile, homecare settings are gaining traction as the he</w:t>
      </w:r>
      <w:r>
        <w:rPr>
          <w:rFonts w:ascii="Libre Franklin" w:eastAsia="Libre Franklin" w:hAnsi="Libre Franklin" w:cs="Libre Franklin"/>
          <w:color w:val="002060"/>
          <w:sz w:val="24"/>
          <w:szCs w:val="24"/>
        </w:rPr>
        <w:t>althcare landscape shifts toward patient-</w:t>
      </w:r>
      <w:proofErr w:type="spellStart"/>
      <w:r>
        <w:rPr>
          <w:rFonts w:ascii="Libre Franklin" w:eastAsia="Libre Franklin" w:hAnsi="Libre Franklin" w:cs="Libre Franklin"/>
          <w:color w:val="002060"/>
          <w:sz w:val="24"/>
          <w:szCs w:val="24"/>
        </w:rPr>
        <w:t>centered</w:t>
      </w:r>
      <w:proofErr w:type="spellEnd"/>
      <w:r>
        <w:rPr>
          <w:rFonts w:ascii="Libre Franklin" w:eastAsia="Libre Franklin" w:hAnsi="Libre Franklin" w:cs="Libre Franklin"/>
          <w:color w:val="002060"/>
          <w:sz w:val="24"/>
          <w:szCs w:val="24"/>
        </w:rPr>
        <w:t xml:space="preserve"> care, especially for those on long-term oral targeted therapies or palliative treatment. This segmentation underscores the importance of a flexible, integrated healthcare system that adapts to patient needs</w:t>
      </w:r>
      <w:r>
        <w:rPr>
          <w:rFonts w:ascii="Libre Franklin" w:eastAsia="Libre Franklin" w:hAnsi="Libre Franklin" w:cs="Libre Franklin"/>
          <w:color w:val="002060"/>
          <w:sz w:val="24"/>
          <w:szCs w:val="24"/>
        </w:rPr>
        <w:t xml:space="preserve"> while supporting innovation and accessibility in metastatic lung adenocarcinoma treatment.</w:t>
      </w:r>
    </w:p>
    <w:p w:rsidR="00094745" w:rsidRDefault="003907CE">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Key Players </w:t>
      </w:r>
    </w:p>
    <w:p w:rsidR="00094745" w:rsidRDefault="003907CE">
      <w:p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U.S. metastatic lung adenocarcinoma treatment market</w:t>
      </w:r>
      <w:r>
        <w:rPr>
          <w:rFonts w:ascii="Libre Franklin" w:eastAsia="Libre Franklin" w:hAnsi="Libre Franklin" w:cs="Libre Franklin"/>
          <w:color w:val="1F3864"/>
          <w:sz w:val="24"/>
          <w:szCs w:val="24"/>
        </w:rPr>
        <w:t xml:space="preserve">" study report will provide valuable insight emphasizing the U.S. market. The major players in the </w:t>
      </w:r>
      <w:r>
        <w:rPr>
          <w:rFonts w:ascii="Libre Franklin" w:eastAsia="Libre Franklin" w:hAnsi="Libre Franklin" w:cs="Libre Franklin"/>
          <w:color w:val="1F3864"/>
          <w:sz w:val="24"/>
          <w:szCs w:val="24"/>
        </w:rPr>
        <w:lastRenderedPageBreak/>
        <w:t>market Roche Holding AG, Pfizer Inc., AstraZeneca PLC, Merck &amp; Co., Inc., Bristol-Myers Squibb Company, Eli Lilly and Company, Novartis AG, Amgen Inc., Johns</w:t>
      </w:r>
      <w:r>
        <w:rPr>
          <w:rFonts w:ascii="Libre Franklin" w:eastAsia="Libre Franklin" w:hAnsi="Libre Franklin" w:cs="Libre Franklin"/>
          <w:color w:val="1F3864"/>
          <w:sz w:val="24"/>
          <w:szCs w:val="24"/>
        </w:rPr>
        <w:t xml:space="preserve">on &amp; Johnson, Sanofi S.A., </w:t>
      </w:r>
      <w:proofErr w:type="spellStart"/>
      <w:r>
        <w:rPr>
          <w:rFonts w:ascii="Libre Franklin" w:eastAsia="Libre Franklin" w:hAnsi="Libre Franklin" w:cs="Libre Franklin"/>
          <w:color w:val="1F3864"/>
          <w:sz w:val="24"/>
          <w:szCs w:val="24"/>
        </w:rPr>
        <w:t>Boehringer</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Ingelheim</w:t>
      </w:r>
      <w:proofErr w:type="spellEnd"/>
      <w:r>
        <w:rPr>
          <w:rFonts w:ascii="Libre Franklin" w:eastAsia="Libre Franklin" w:hAnsi="Libre Franklin" w:cs="Libre Franklin"/>
          <w:color w:val="1F3864"/>
          <w:sz w:val="24"/>
          <w:szCs w:val="24"/>
        </w:rPr>
        <w:t xml:space="preserve"> GmbH, GlaxoSmithKline plc, Regeneron Pharmaceuticals Inc., AbbVie Inc., </w:t>
      </w:r>
      <w:r>
        <w:rPr>
          <w:rFonts w:ascii="Libre Franklin" w:eastAsia="Libre Franklin" w:hAnsi="Libre Franklin" w:cs="Libre Franklin"/>
          <w:noProof/>
        </w:rPr>
        <w:drawing>
          <wp:anchor distT="0" distB="0" distL="0" distR="0" simplePos="0" relativeHeight="251664384" behindDoc="1" locked="0" layoutInCell="1" hidden="0" allowOverlap="1">
            <wp:simplePos x="0" y="0"/>
            <wp:positionH relativeFrom="page">
              <wp:posOffset>-939799</wp:posOffset>
            </wp:positionH>
            <wp:positionV relativeFrom="page">
              <wp:posOffset>-1478279</wp:posOffset>
            </wp:positionV>
            <wp:extent cx="10220215" cy="14454202"/>
            <wp:effectExtent l="0" t="0" r="0" b="0"/>
            <wp:wrapNone/>
            <wp:docPr id="195536784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proofErr w:type="spellStart"/>
      <w:r>
        <w:rPr>
          <w:rFonts w:ascii="Libre Franklin" w:eastAsia="Libre Franklin" w:hAnsi="Libre Franklin" w:cs="Libre Franklin"/>
          <w:color w:val="1F3864"/>
          <w:sz w:val="24"/>
          <w:szCs w:val="24"/>
        </w:rPr>
        <w:t>BeiGene</w:t>
      </w:r>
      <w:proofErr w:type="spellEnd"/>
      <w:r>
        <w:rPr>
          <w:rFonts w:ascii="Libre Franklin" w:eastAsia="Libre Franklin" w:hAnsi="Libre Franklin" w:cs="Libre Franklin"/>
          <w:color w:val="1F3864"/>
          <w:sz w:val="24"/>
          <w:szCs w:val="24"/>
        </w:rPr>
        <w:t xml:space="preserve">, Ltd., Takeda Pharmaceutical Company Limited, Daiichi Sankyo Company, Limited, F. Hoffmann-La Roche Ltd., </w:t>
      </w:r>
      <w:proofErr w:type="spellStart"/>
      <w:r>
        <w:rPr>
          <w:rFonts w:ascii="Libre Franklin" w:eastAsia="Libre Franklin" w:hAnsi="Libre Franklin" w:cs="Libre Franklin"/>
          <w:color w:val="1F3864"/>
          <w:sz w:val="24"/>
          <w:szCs w:val="24"/>
        </w:rPr>
        <w:t>NeoTX</w:t>
      </w:r>
      <w:proofErr w:type="spellEnd"/>
      <w:r>
        <w:rPr>
          <w:rFonts w:ascii="Libre Franklin" w:eastAsia="Libre Franklin" w:hAnsi="Libre Franklin" w:cs="Libre Franklin"/>
          <w:color w:val="1F3864"/>
          <w:sz w:val="24"/>
          <w:szCs w:val="24"/>
        </w:rPr>
        <w:t xml:space="preserve"> Therapeutics, </w:t>
      </w:r>
      <w:proofErr w:type="spellStart"/>
      <w:r>
        <w:rPr>
          <w:rFonts w:ascii="Libre Franklin" w:eastAsia="Libre Franklin" w:hAnsi="Libre Franklin" w:cs="Libre Franklin"/>
          <w:color w:val="1F3864"/>
          <w:sz w:val="24"/>
          <w:szCs w:val="24"/>
        </w:rPr>
        <w:t>X</w:t>
      </w:r>
      <w:r>
        <w:rPr>
          <w:rFonts w:ascii="Libre Franklin" w:eastAsia="Libre Franklin" w:hAnsi="Libre Franklin" w:cs="Libre Franklin"/>
          <w:color w:val="1F3864"/>
          <w:sz w:val="24"/>
          <w:szCs w:val="24"/>
        </w:rPr>
        <w:t>covery</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Nuvation</w:t>
      </w:r>
      <w:proofErr w:type="spellEnd"/>
      <w:r>
        <w:rPr>
          <w:rFonts w:ascii="Libre Franklin" w:eastAsia="Libre Franklin" w:hAnsi="Libre Franklin" w:cs="Libre Franklin"/>
          <w:color w:val="1F3864"/>
          <w:sz w:val="24"/>
          <w:szCs w:val="24"/>
        </w:rPr>
        <w:t xml:space="preserve"> Bio among others. Our market analysis also entails a section solely dedicated to such major players wherein our analysts provide an insight into the financial statements of all the major players, along with product benchmarking and SWOT an</w:t>
      </w:r>
      <w:r>
        <w:rPr>
          <w:rFonts w:ascii="Libre Franklin" w:eastAsia="Libre Franklin" w:hAnsi="Libre Franklin" w:cs="Libre Franklin"/>
          <w:color w:val="1F3864"/>
          <w:sz w:val="24"/>
          <w:szCs w:val="24"/>
        </w:rPr>
        <w:t>alysis.</w:t>
      </w:r>
      <w:r>
        <w:rPr>
          <w:rFonts w:ascii="Libre Franklin" w:eastAsia="Libre Franklin" w:hAnsi="Libre Franklin" w:cs="Libre Franklin"/>
        </w:rPr>
        <w:t xml:space="preserve"> </w:t>
      </w:r>
    </w:p>
    <w:p w:rsidR="00094745" w:rsidRDefault="003907CE">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Key Developments</w:t>
      </w:r>
    </w:p>
    <w:p w:rsidR="00094745" w:rsidRDefault="003907CE">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the FDA approved </w:t>
      </w:r>
      <w:proofErr w:type="spellStart"/>
      <w:r>
        <w:rPr>
          <w:rFonts w:ascii="Libre Franklin" w:eastAsia="Libre Franklin" w:hAnsi="Libre Franklin" w:cs="Libre Franklin"/>
          <w:color w:val="1F3864"/>
          <w:sz w:val="24"/>
          <w:szCs w:val="24"/>
        </w:rPr>
        <w:t>amivantamab-vmjw</w:t>
      </w:r>
      <w:proofErr w:type="spellEnd"/>
      <w:r>
        <w:rPr>
          <w:rFonts w:ascii="Libre Franklin" w:eastAsia="Libre Franklin" w:hAnsi="Libre Franklin" w:cs="Libre Franklin"/>
          <w:color w:val="1F3864"/>
          <w:sz w:val="24"/>
          <w:szCs w:val="24"/>
        </w:rPr>
        <w:t xml:space="preserve"> combined with carboplatin and </w:t>
      </w:r>
      <w:proofErr w:type="spellStart"/>
      <w:r>
        <w:rPr>
          <w:rFonts w:ascii="Libre Franklin" w:eastAsia="Libre Franklin" w:hAnsi="Libre Franklin" w:cs="Libre Franklin"/>
          <w:color w:val="1F3864"/>
          <w:sz w:val="24"/>
          <w:szCs w:val="24"/>
        </w:rPr>
        <w:t>pemetrexed</w:t>
      </w:r>
      <w:proofErr w:type="spellEnd"/>
      <w:r>
        <w:rPr>
          <w:rFonts w:ascii="Libre Franklin" w:eastAsia="Libre Franklin" w:hAnsi="Libre Franklin" w:cs="Libre Franklin"/>
          <w:color w:val="1F3864"/>
          <w:sz w:val="24"/>
          <w:szCs w:val="24"/>
        </w:rPr>
        <w:t xml:space="preserve"> for adults with EGFR-mutated metastatic NSCLC who have not responded to prior EGFR tyrosine kinase inhibitor therapy.</w:t>
      </w:r>
    </w:p>
    <w:p w:rsidR="00094745" w:rsidRDefault="003907CE">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the FDA approved </w:t>
      </w:r>
      <w:proofErr w:type="spellStart"/>
      <w:r>
        <w:rPr>
          <w:rFonts w:ascii="Libre Franklin" w:eastAsia="Libre Franklin" w:hAnsi="Libre Franklin" w:cs="Libre Franklin"/>
          <w:color w:val="1F3864"/>
          <w:sz w:val="24"/>
          <w:szCs w:val="24"/>
        </w:rPr>
        <w:t>en</w:t>
      </w:r>
      <w:r>
        <w:rPr>
          <w:rFonts w:ascii="Libre Franklin" w:eastAsia="Libre Franklin" w:hAnsi="Libre Franklin" w:cs="Libre Franklin"/>
          <w:color w:val="1F3864"/>
          <w:sz w:val="24"/>
          <w:szCs w:val="24"/>
        </w:rPr>
        <w:t>sartinib</w:t>
      </w:r>
      <w:proofErr w:type="spellEnd"/>
      <w:r>
        <w:rPr>
          <w:rFonts w:ascii="Libre Franklin" w:eastAsia="Libre Franklin" w:hAnsi="Libre Franklin" w:cs="Libre Franklin"/>
          <w:color w:val="1F3864"/>
          <w:sz w:val="24"/>
          <w:szCs w:val="24"/>
        </w:rPr>
        <w:t>, an anaplastic lymphoma kinase (ALK) inhibitor, for adults with ALK-positive locally advanced or metastatic non-small cell lung cancer (NSCLC) who have not been treated with an ALK inhibitor before.</w:t>
      </w:r>
    </w:p>
    <w:p w:rsidR="00094745" w:rsidRDefault="003907CE">
      <w:pPr>
        <w:numPr>
          <w:ilvl w:val="0"/>
          <w:numId w:val="6"/>
        </w:numPr>
        <w:pBdr>
          <w:top w:val="nil"/>
          <w:left w:val="nil"/>
          <w:bottom w:val="nil"/>
          <w:right w:val="nil"/>
          <w:between w:val="nil"/>
        </w:pBd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w:t>
      </w:r>
      <w:proofErr w:type="spellStart"/>
      <w:r>
        <w:rPr>
          <w:rFonts w:ascii="Libre Franklin" w:eastAsia="Libre Franklin" w:hAnsi="Libre Franklin" w:cs="Libre Franklin"/>
          <w:color w:val="1F3864"/>
          <w:sz w:val="24"/>
          <w:szCs w:val="24"/>
        </w:rPr>
        <w:t>Immutep</w:t>
      </w:r>
      <w:proofErr w:type="spellEnd"/>
      <w:r>
        <w:rPr>
          <w:rFonts w:ascii="Libre Franklin" w:eastAsia="Libre Franklin" w:hAnsi="Libre Franklin" w:cs="Libre Franklin"/>
          <w:color w:val="1F3864"/>
          <w:sz w:val="24"/>
          <w:szCs w:val="24"/>
        </w:rPr>
        <w:t xml:space="preserve"> partnered with Merck to launch </w:t>
      </w:r>
      <w:r>
        <w:rPr>
          <w:rFonts w:ascii="Libre Franklin" w:eastAsia="Libre Franklin" w:hAnsi="Libre Franklin" w:cs="Libre Franklin"/>
          <w:color w:val="1F3864"/>
          <w:sz w:val="24"/>
          <w:szCs w:val="24"/>
        </w:rPr>
        <w:t xml:space="preserve">a Phase 3 trial combining </w:t>
      </w:r>
      <w:proofErr w:type="spellStart"/>
      <w:r>
        <w:rPr>
          <w:rFonts w:ascii="Libre Franklin" w:eastAsia="Libre Franklin" w:hAnsi="Libre Franklin" w:cs="Libre Franklin"/>
          <w:color w:val="1F3864"/>
          <w:sz w:val="24"/>
          <w:szCs w:val="24"/>
        </w:rPr>
        <w:t>Immutep's</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Efti</w:t>
      </w:r>
      <w:proofErr w:type="spellEnd"/>
      <w:r>
        <w:rPr>
          <w:rFonts w:ascii="Libre Franklin" w:eastAsia="Libre Franklin" w:hAnsi="Libre Franklin" w:cs="Libre Franklin"/>
          <w:color w:val="1F3864"/>
          <w:sz w:val="24"/>
          <w:szCs w:val="24"/>
        </w:rPr>
        <w:t xml:space="preserve"> compound with Merck's </w:t>
      </w:r>
      <w:proofErr w:type="spellStart"/>
      <w:r>
        <w:rPr>
          <w:rFonts w:ascii="Libre Franklin" w:eastAsia="Libre Franklin" w:hAnsi="Libre Franklin" w:cs="Libre Franklin"/>
          <w:color w:val="1F3864"/>
          <w:sz w:val="24"/>
          <w:szCs w:val="24"/>
        </w:rPr>
        <w:t>Keytruda</w:t>
      </w:r>
      <w:proofErr w:type="spellEnd"/>
      <w:r>
        <w:rPr>
          <w:rFonts w:ascii="Libre Franklin" w:eastAsia="Libre Franklin" w:hAnsi="Libre Franklin" w:cs="Libre Franklin"/>
          <w:color w:val="1F3864"/>
          <w:sz w:val="24"/>
          <w:szCs w:val="24"/>
        </w:rPr>
        <w:t xml:space="preserve"> for first-line treatment of metastatic NSCLC.</w:t>
      </w:r>
    </w:p>
    <w:p w:rsidR="00094745" w:rsidRDefault="003907CE">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Market Attractiveness</w:t>
      </w:r>
    </w:p>
    <w:p w:rsidR="00094745" w:rsidRDefault="003907CE">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The image of market attractiveness provided further helps to get information about the region leading in the</w:t>
      </w:r>
      <w:r>
        <w:rPr>
          <w:sz w:val="24"/>
          <w:szCs w:val="24"/>
        </w:rPr>
        <w:t xml:space="preserve"> </w:t>
      </w:r>
      <w:r>
        <w:rPr>
          <w:rFonts w:ascii="Libre Franklin" w:eastAsia="Libre Franklin" w:hAnsi="Libre Franklin" w:cs="Libre Franklin"/>
          <w:color w:val="002060"/>
          <w:sz w:val="24"/>
          <w:szCs w:val="24"/>
        </w:rPr>
        <w:t>U.S. me</w:t>
      </w:r>
      <w:r>
        <w:rPr>
          <w:rFonts w:ascii="Libre Franklin" w:eastAsia="Libre Franklin" w:hAnsi="Libre Franklin" w:cs="Libre Franklin"/>
          <w:color w:val="002060"/>
          <w:sz w:val="24"/>
          <w:szCs w:val="24"/>
        </w:rPr>
        <w:t>tastatic lung adenocarcinoma treatment market</w:t>
      </w:r>
      <w:r>
        <w:rPr>
          <w:rFonts w:ascii="Libre Franklin" w:eastAsia="Libre Franklin" w:hAnsi="Libre Franklin" w:cs="Libre Franklin"/>
          <w:color w:val="1F3864"/>
          <w:sz w:val="24"/>
          <w:szCs w:val="24"/>
        </w:rPr>
        <w:t xml:space="preserve">. We cover the major impacting factors driving the industry growth in the given region. </w:t>
      </w:r>
    </w:p>
    <w:p w:rsidR="00094745" w:rsidRDefault="003907CE">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Porter’s Five Forces</w:t>
      </w:r>
    </w:p>
    <w:p w:rsidR="00094745" w:rsidRDefault="003907CE">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image provided would further help to get information about Porter's five forces framework providi</w:t>
      </w:r>
      <w:r>
        <w:rPr>
          <w:rFonts w:ascii="Libre Franklin" w:eastAsia="Libre Franklin" w:hAnsi="Libre Franklin" w:cs="Libre Franklin"/>
          <w:color w:val="1F3864"/>
          <w:sz w:val="24"/>
          <w:szCs w:val="24"/>
        </w:rPr>
        <w:t xml:space="preserve">ng a blueprint for understanding the </w:t>
      </w:r>
      <w:proofErr w:type="spellStart"/>
      <w:r>
        <w:rPr>
          <w:rFonts w:ascii="Libre Franklin" w:eastAsia="Libre Franklin" w:hAnsi="Libre Franklin" w:cs="Libre Franklin"/>
          <w:color w:val="1F3864"/>
          <w:sz w:val="24"/>
          <w:szCs w:val="24"/>
        </w:rPr>
        <w:t>behavior</w:t>
      </w:r>
      <w:proofErr w:type="spellEnd"/>
      <w:r>
        <w:rPr>
          <w:rFonts w:ascii="Libre Franklin" w:eastAsia="Libre Franklin" w:hAnsi="Libre Franklin" w:cs="Libre Franklin"/>
          <w:color w:val="1F3864"/>
          <w:sz w:val="24"/>
          <w:szCs w:val="24"/>
        </w:rPr>
        <w:t xml:space="preserve"> of competitors and a player's strategic positioning in the respective industry. </w:t>
      </w:r>
      <w:r>
        <w:rPr>
          <w:rFonts w:ascii="Libre Franklin" w:eastAsia="Libre Franklin" w:hAnsi="Libre Franklin" w:cs="Libre Franklin"/>
          <w:color w:val="1F3864"/>
          <w:sz w:val="24"/>
          <w:szCs w:val="24"/>
        </w:rPr>
        <w:lastRenderedPageBreak/>
        <w:t xml:space="preserve">Porter's five forces model can be used to assess the competitive landscape </w:t>
      </w:r>
      <w:r>
        <w:rPr>
          <w:rFonts w:ascii="Libre Franklin" w:eastAsia="Libre Franklin" w:hAnsi="Libre Franklin" w:cs="Libre Franklin"/>
          <w:color w:val="002060"/>
          <w:sz w:val="24"/>
          <w:szCs w:val="24"/>
        </w:rPr>
        <w:t>U.S. metastatic lung adenocarcinoma treatment market,</w:t>
      </w:r>
      <w:r>
        <w:rPr>
          <w:rFonts w:ascii="Libre Franklin" w:eastAsia="Libre Franklin" w:hAnsi="Libre Franklin" w:cs="Libre Franklin"/>
          <w:color w:val="1F3864"/>
          <w:sz w:val="24"/>
          <w:szCs w:val="24"/>
        </w:rPr>
        <w:t xml:space="preserve"> gauge the attractiveness of a particular sector, and assess investment possibilities.</w:t>
      </w:r>
    </w:p>
    <w:p w:rsidR="00094745" w:rsidRDefault="00094745">
      <w:pPr>
        <w:spacing w:before="240" w:line="360" w:lineRule="auto"/>
        <w:jc w:val="both"/>
        <w:rPr>
          <w:rFonts w:ascii="Times New Roman" w:eastAsia="Times New Roman" w:hAnsi="Times New Roman" w:cs="Times New Roman"/>
          <w:color w:val="1F3864"/>
          <w:sz w:val="40"/>
          <w:szCs w:val="40"/>
        </w:rPr>
      </w:pPr>
    </w:p>
    <w:p w:rsidR="00094745" w:rsidRDefault="00094745">
      <w:pPr>
        <w:spacing w:before="240" w:line="360" w:lineRule="auto"/>
        <w:jc w:val="both"/>
        <w:rPr>
          <w:rFonts w:ascii="Times New Roman" w:eastAsia="Times New Roman" w:hAnsi="Times New Roman" w:cs="Times New Roman"/>
          <w:color w:val="1F3864"/>
          <w:sz w:val="40"/>
          <w:szCs w:val="40"/>
        </w:rPr>
      </w:pPr>
    </w:p>
    <w:p w:rsidR="00094745" w:rsidRDefault="003907CE">
      <w:pPr>
        <w:spacing w:before="240" w:line="360" w:lineRule="auto"/>
        <w:jc w:val="both"/>
        <w:rPr>
          <w:rFonts w:ascii="Times New Roman" w:eastAsia="Times New Roman" w:hAnsi="Times New Roman" w:cs="Times New Roman"/>
          <w:color w:val="1F3864"/>
          <w:sz w:val="40"/>
          <w:szCs w:val="40"/>
        </w:rPr>
      </w:pPr>
      <w:r>
        <w:rPr>
          <w:rFonts w:ascii="Libre Franklin" w:eastAsia="Libre Franklin" w:hAnsi="Libre Franklin" w:cs="Libre Franklin"/>
          <w:noProof/>
        </w:rPr>
        <w:drawing>
          <wp:anchor distT="0" distB="0" distL="0" distR="0" simplePos="0" relativeHeight="251665408" behindDoc="1" locked="0" layoutInCell="1" hidden="0" allowOverlap="1">
            <wp:simplePos x="0" y="0"/>
            <wp:positionH relativeFrom="page">
              <wp:posOffset>-2108199</wp:posOffset>
            </wp:positionH>
            <wp:positionV relativeFrom="page">
              <wp:posOffset>-1753869</wp:posOffset>
            </wp:positionV>
            <wp:extent cx="10220215" cy="14454202"/>
            <wp:effectExtent l="0" t="0" r="0" b="0"/>
            <wp:wrapNone/>
            <wp:docPr id="195536784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Times New Roman" w:eastAsia="Times New Roman" w:hAnsi="Times New Roman" w:cs="Times New Roman"/>
          <w:color w:val="1F3864"/>
          <w:sz w:val="40"/>
          <w:szCs w:val="40"/>
        </w:rPr>
        <w:t>TABLE OF CONTENT</w:t>
      </w:r>
    </w:p>
    <w:p w:rsidR="00094745" w:rsidRDefault="003907CE">
      <w:pPr>
        <w:spacing w:after="0" w:line="240" w:lineRule="auto"/>
        <w:rPr>
          <w:rFonts w:ascii="Libre Franklin" w:eastAsia="Libre Franklin" w:hAnsi="Libre Franklin" w:cs="Libre Franklin"/>
          <w:b/>
          <w:color w:val="002060"/>
          <w:sz w:val="24"/>
          <w:szCs w:val="24"/>
        </w:rPr>
      </w:pPr>
      <w:r>
        <w:rPr>
          <w:rFonts w:ascii="Times New Roman" w:eastAsia="Times New Roman" w:hAnsi="Times New Roman" w:cs="Times New Roman"/>
          <w:color w:val="1F3864"/>
          <w:sz w:val="40"/>
          <w:szCs w:val="40"/>
        </w:rPr>
        <w:t>1</w:t>
      </w:r>
      <w:r>
        <w:rPr>
          <w:color w:val="1F3864"/>
          <w:sz w:val="24"/>
          <w:szCs w:val="24"/>
        </w:rPr>
        <w:t xml:space="preserve"> </w:t>
      </w:r>
      <w:r>
        <w:rPr>
          <w:rFonts w:ascii="Libre Franklin" w:eastAsia="Libre Franklin" w:hAnsi="Libre Franklin" w:cs="Libre Franklin"/>
          <w:b/>
          <w:color w:val="1F3864"/>
          <w:sz w:val="24"/>
          <w:szCs w:val="24"/>
        </w:rPr>
        <w:t>INTRODUCTION OF</w:t>
      </w:r>
      <w:r>
        <w:t xml:space="preserve"> </w:t>
      </w:r>
      <w:r>
        <w:rPr>
          <w:rFonts w:ascii="Libre Franklin" w:eastAsia="Libre Franklin" w:hAnsi="Libre Franklin" w:cs="Libre Franklin"/>
          <w:b/>
          <w:color w:val="1F3864"/>
          <w:sz w:val="24"/>
          <w:szCs w:val="24"/>
        </w:rPr>
        <w:t>U.S. METASTATIC LUNG ADENOCARCINOMA TREATMENT MARKET</w:t>
      </w:r>
    </w:p>
    <w:p w:rsidR="00094745" w:rsidRDefault="003907CE">
      <w:pPr>
        <w:numPr>
          <w:ilvl w:val="1"/>
          <w:numId w:val="1"/>
        </w:numPr>
        <w:pBdr>
          <w:top w:val="nil"/>
          <w:left w:val="nil"/>
          <w:bottom w:val="nil"/>
          <w:right w:val="nil"/>
          <w:between w:val="nil"/>
        </w:pBdr>
        <w:spacing w:before="240"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 of the market</w:t>
      </w:r>
    </w:p>
    <w:p w:rsidR="00094745" w:rsidRDefault="003907CE">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Scope of report</w:t>
      </w:r>
    </w:p>
    <w:p w:rsidR="00094745" w:rsidRDefault="003907CE">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094745" w:rsidRDefault="003907CE">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EXECUTIVE SUMMARY</w:t>
      </w:r>
    </w:p>
    <w:p w:rsidR="00094745" w:rsidRDefault="003907CE">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RESEARCH METHODOLOGY</w:t>
      </w:r>
    </w:p>
    <w:p w:rsidR="00094745" w:rsidRDefault="003907CE">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Data Mining</w:t>
      </w:r>
    </w:p>
    <w:p w:rsidR="00094745" w:rsidRDefault="003907CE">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Validation</w:t>
      </w:r>
    </w:p>
    <w:p w:rsidR="00094745" w:rsidRDefault="003907CE">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Primary Interviews</w:t>
      </w:r>
    </w:p>
    <w:p w:rsidR="00094745" w:rsidRDefault="003907CE">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List of Data sources</w:t>
      </w:r>
    </w:p>
    <w:p w:rsidR="00094745" w:rsidRDefault="003907CE">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U.S. METASTATIC LUNG ADENOCARCINOMA TREATMENT MARKET</w:t>
      </w:r>
      <w:r>
        <w:rPr>
          <w:rFonts w:ascii="Libre Franklin" w:eastAsia="Libre Franklin" w:hAnsi="Libre Franklin" w:cs="Libre Franklin"/>
          <w:b/>
          <w:color w:val="002060"/>
          <w:sz w:val="24"/>
          <w:szCs w:val="24"/>
        </w:rPr>
        <w:t xml:space="preserve"> OUTLOOK</w:t>
      </w:r>
    </w:p>
    <w:p w:rsidR="00094745" w:rsidRDefault="00094745">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094745" w:rsidRDefault="003907CE">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094745" w:rsidRDefault="003907CE">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Market Dynamics</w:t>
      </w:r>
    </w:p>
    <w:p w:rsidR="00094745" w:rsidRDefault="003907CE">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Drivers</w:t>
      </w:r>
    </w:p>
    <w:p w:rsidR="00094745" w:rsidRDefault="003907CE">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Restrains</w:t>
      </w:r>
    </w:p>
    <w:p w:rsidR="00094745" w:rsidRDefault="003907CE">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Opportunities</w:t>
      </w:r>
    </w:p>
    <w:p w:rsidR="00094745" w:rsidRDefault="003907CE">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Trends</w:t>
      </w:r>
    </w:p>
    <w:p w:rsidR="00094745" w:rsidRDefault="003907CE">
      <w:pPr>
        <w:numPr>
          <w:ilvl w:val="1"/>
          <w:numId w:val="1"/>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Portes</w:t>
      </w:r>
      <w:proofErr w:type="spellEnd"/>
      <w:r>
        <w:rPr>
          <w:rFonts w:ascii="Libre Franklin" w:eastAsia="Libre Franklin" w:hAnsi="Libre Franklin" w:cs="Libre Franklin"/>
          <w:color w:val="002060"/>
          <w:sz w:val="24"/>
          <w:szCs w:val="24"/>
        </w:rPr>
        <w:t xml:space="preserve"> Five FORCE Model</w:t>
      </w:r>
    </w:p>
    <w:p w:rsidR="00094745" w:rsidRDefault="003907CE">
      <w:pPr>
        <w:numPr>
          <w:ilvl w:val="1"/>
          <w:numId w:val="1"/>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Value Chain Analysis</w:t>
      </w:r>
    </w:p>
    <w:p w:rsidR="00094745" w:rsidRDefault="00094745">
      <w:pPr>
        <w:spacing w:line="360" w:lineRule="auto"/>
        <w:rPr>
          <w:rFonts w:ascii="Libre Franklin" w:eastAsia="Libre Franklin" w:hAnsi="Libre Franklin" w:cs="Libre Franklin"/>
          <w:b/>
          <w:color w:val="002060"/>
          <w:sz w:val="24"/>
          <w:szCs w:val="24"/>
        </w:rPr>
      </w:pPr>
    </w:p>
    <w:p w:rsidR="00094745" w:rsidRDefault="003907CE">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 xml:space="preserve">5 </w:t>
      </w:r>
      <w:r>
        <w:rPr>
          <w:rFonts w:ascii="Libre Franklin" w:eastAsia="Libre Franklin" w:hAnsi="Libre Franklin" w:cs="Libre Franklin"/>
          <w:b/>
          <w:color w:val="1F3864"/>
          <w:sz w:val="24"/>
          <w:szCs w:val="24"/>
        </w:rPr>
        <w:t>U.S. METASTATIC LUNG ADENOCARCINOMA TREATMENT MARKET, BY THERAPY TYPE</w:t>
      </w:r>
    </w:p>
    <w:p w:rsidR="00094745" w:rsidRDefault="003907CE">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5.1 Overview </w:t>
      </w:r>
    </w:p>
    <w:p w:rsidR="00094745" w:rsidRDefault="003907CE">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6432" behindDoc="1" locked="0" layoutInCell="1" hidden="0" allowOverlap="1">
            <wp:simplePos x="0" y="0"/>
            <wp:positionH relativeFrom="page">
              <wp:posOffset>-1650999</wp:posOffset>
            </wp:positionH>
            <wp:positionV relativeFrom="page">
              <wp:posOffset>-965199</wp:posOffset>
            </wp:positionV>
            <wp:extent cx="10220215" cy="14454202"/>
            <wp:effectExtent l="0" t="0" r="0" b="0"/>
            <wp:wrapNone/>
            <wp:docPr id="195536783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5.2</w:t>
      </w:r>
      <w:r>
        <w:rPr>
          <w:color w:val="000000"/>
        </w:rPr>
        <w:t xml:space="preserve"> </w:t>
      </w:r>
      <w:r>
        <w:rPr>
          <w:rFonts w:ascii="Libre Franklin" w:eastAsia="Libre Franklin" w:hAnsi="Libre Franklin" w:cs="Libre Franklin"/>
          <w:color w:val="002060"/>
          <w:sz w:val="24"/>
          <w:szCs w:val="24"/>
        </w:rPr>
        <w:t>Chemotherapy</w:t>
      </w:r>
    </w:p>
    <w:p w:rsidR="00094745" w:rsidRDefault="003907CE">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5.3</w:t>
      </w:r>
      <w:r>
        <w:rPr>
          <w:color w:val="000000"/>
        </w:rPr>
        <w:t xml:space="preserve"> </w:t>
      </w:r>
      <w:r>
        <w:rPr>
          <w:rFonts w:ascii="Libre Franklin" w:eastAsia="Libre Franklin" w:hAnsi="Libre Franklin" w:cs="Libre Franklin"/>
          <w:color w:val="002060"/>
          <w:sz w:val="24"/>
          <w:szCs w:val="24"/>
        </w:rPr>
        <w:t>Targeted Therapy</w:t>
      </w:r>
    </w:p>
    <w:p w:rsidR="00094745" w:rsidRDefault="003907CE">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5.4 Radiation Therapy</w:t>
      </w:r>
    </w:p>
    <w:p w:rsidR="00094745" w:rsidRDefault="003907CE">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5.5 Immunotherapy</w:t>
      </w:r>
    </w:p>
    <w:p w:rsidR="00094745" w:rsidRDefault="003907CE">
      <w:pPr>
        <w:pBdr>
          <w:top w:val="nil"/>
          <w:left w:val="nil"/>
          <w:bottom w:val="nil"/>
          <w:right w:val="nil"/>
          <w:between w:val="nil"/>
        </w:pBdr>
        <w:spacing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5.6 Others</w:t>
      </w:r>
    </w:p>
    <w:p w:rsidR="00094745" w:rsidRDefault="003907CE">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6</w:t>
      </w: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U.S. METASTATIC LUNG ADENOCARCINOMA TREATMENT MARKET, BY ROUTE OF ADMINISTRATION</w:t>
      </w:r>
    </w:p>
    <w:p w:rsidR="00094745" w:rsidRDefault="003907CE">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6.1 Overview</w:t>
      </w:r>
    </w:p>
    <w:p w:rsidR="00094745" w:rsidRDefault="003907CE">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6.2 Oral</w:t>
      </w:r>
    </w:p>
    <w:p w:rsidR="00094745" w:rsidRDefault="003907CE">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6.3</w:t>
      </w:r>
      <w:r>
        <w:t xml:space="preserve"> </w:t>
      </w:r>
      <w:r>
        <w:rPr>
          <w:rFonts w:ascii="Libre Franklin" w:eastAsia="Libre Franklin" w:hAnsi="Libre Franklin" w:cs="Libre Franklin"/>
          <w:color w:val="002060"/>
          <w:sz w:val="24"/>
          <w:szCs w:val="24"/>
        </w:rPr>
        <w:t>Intravenous (IV)</w:t>
      </w:r>
    </w:p>
    <w:p w:rsidR="00094745" w:rsidRDefault="003907CE">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b/>
          <w:color w:val="002060"/>
          <w:sz w:val="40"/>
          <w:szCs w:val="40"/>
        </w:rPr>
        <w:t>7</w:t>
      </w:r>
      <w:r>
        <w:t xml:space="preserve"> </w:t>
      </w:r>
      <w:r>
        <w:rPr>
          <w:rFonts w:ascii="Libre Franklin" w:eastAsia="Libre Franklin" w:hAnsi="Libre Franklin" w:cs="Libre Franklin"/>
          <w:b/>
          <w:color w:val="002060"/>
          <w:sz w:val="24"/>
          <w:szCs w:val="24"/>
        </w:rPr>
        <w:t>U.S. METASTATIC LUNG ADENOCARCINOMA TREATMENT MARKET, BY DISTRIBUTION CHANNEL</w:t>
      </w:r>
      <w:r>
        <w:rPr>
          <w:rFonts w:ascii="Libre Franklin" w:eastAsia="Libre Franklin" w:hAnsi="Libre Franklin" w:cs="Libre Franklin"/>
          <w:color w:val="002060"/>
          <w:sz w:val="24"/>
          <w:szCs w:val="24"/>
        </w:rPr>
        <w:t xml:space="preserve">              </w:t>
      </w:r>
    </w:p>
    <w:p w:rsidR="00094745" w:rsidRDefault="003907CE">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     </w:t>
      </w:r>
      <w:r>
        <w:rPr>
          <w:rFonts w:ascii="Libre Franklin" w:eastAsia="Libre Franklin" w:hAnsi="Libre Franklin" w:cs="Libre Franklin"/>
          <w:color w:val="002060"/>
          <w:sz w:val="24"/>
          <w:szCs w:val="24"/>
        </w:rPr>
        <w:t xml:space="preserve">           7.1 Overview</w:t>
      </w:r>
    </w:p>
    <w:p w:rsidR="00094745" w:rsidRDefault="003907CE">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 Hospital Pharmacies</w:t>
      </w:r>
    </w:p>
    <w:p w:rsidR="00094745" w:rsidRDefault="003907CE">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7.3 Retail Pharmacies</w:t>
      </w:r>
    </w:p>
    <w:p w:rsidR="00094745" w:rsidRDefault="003907CE">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7.4 Online Pharmacies</w:t>
      </w:r>
    </w:p>
    <w:p w:rsidR="00094745" w:rsidRDefault="003907CE">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7.5 Specialty Clinics and Cancer </w:t>
      </w:r>
      <w:proofErr w:type="spellStart"/>
      <w:r>
        <w:rPr>
          <w:rFonts w:ascii="Libre Franklin" w:eastAsia="Libre Franklin" w:hAnsi="Libre Franklin" w:cs="Libre Franklin"/>
          <w:color w:val="002060"/>
          <w:sz w:val="24"/>
          <w:szCs w:val="24"/>
        </w:rPr>
        <w:t>Centers</w:t>
      </w:r>
      <w:proofErr w:type="spellEnd"/>
    </w:p>
    <w:p w:rsidR="00094745" w:rsidRDefault="003907CE">
      <w:pPr>
        <w:numPr>
          <w:ilvl w:val="0"/>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t>U.S. METASTATIC LUNG ADENOCARCINOMA TREATMENT MARKET, BY END USER</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 Overview</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Hospitals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7456" behindDoc="1" locked="0" layoutInCell="1" hidden="0" allowOverlap="1">
            <wp:simplePos x="0" y="0"/>
            <wp:positionH relativeFrom="page">
              <wp:posOffset>-1523999</wp:posOffset>
            </wp:positionH>
            <wp:positionV relativeFrom="page">
              <wp:posOffset>-831214</wp:posOffset>
            </wp:positionV>
            <wp:extent cx="10220215" cy="14454202"/>
            <wp:effectExtent l="0" t="0" r="0" b="0"/>
            <wp:wrapNone/>
            <wp:docPr id="195536783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 Oncology Clinics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Academic &amp; Research Institutes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Homecare Settings</w:t>
      </w:r>
    </w:p>
    <w:p w:rsidR="00094745" w:rsidRDefault="003907CE">
      <w:pPr>
        <w:numPr>
          <w:ilvl w:val="0"/>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t>U.S. METASTATIC LUNG ADENOCARCINOMA TREATMENT MARKET</w:t>
      </w:r>
      <w:r>
        <w:rPr>
          <w:rFonts w:ascii="Libre Franklin" w:eastAsia="Libre Franklin" w:hAnsi="Libre Franklin" w:cs="Libre Franklin"/>
          <w:b/>
          <w:color w:val="002060"/>
          <w:sz w:val="24"/>
          <w:szCs w:val="24"/>
        </w:rPr>
        <w:t xml:space="preserve"> COMPETITIVE LANDSCAPE</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Company Market Ranking</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Key Developments Strategies</w:t>
      </w:r>
    </w:p>
    <w:p w:rsidR="00094745" w:rsidRDefault="003907CE">
      <w:pPr>
        <w:numPr>
          <w:ilvl w:val="0"/>
          <w:numId w:val="7"/>
        </w:numPr>
        <w:pBdr>
          <w:top w:val="nil"/>
          <w:left w:val="nil"/>
          <w:bottom w:val="nil"/>
          <w:right w:val="nil"/>
          <w:between w:val="nil"/>
        </w:pBdr>
        <w:tabs>
          <w:tab w:val="left" w:pos="1134"/>
        </w:tabs>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COMPANY PROFILES</w:t>
      </w:r>
    </w:p>
    <w:p w:rsidR="00094745" w:rsidRDefault="003907CE">
      <w:pPr>
        <w:spacing w:line="480" w:lineRule="auto"/>
        <w:ind w:left="852"/>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10.1 </w:t>
      </w:r>
      <w:r>
        <w:rPr>
          <w:rFonts w:ascii="Libre Franklin" w:eastAsia="Libre Franklin" w:hAnsi="Libre Franklin" w:cs="Libre Franklin"/>
          <w:b/>
          <w:color w:val="1F3864"/>
          <w:sz w:val="24"/>
          <w:szCs w:val="24"/>
        </w:rPr>
        <w:t>Roche Holding AG</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lastRenderedPageBreak/>
        <w:t>roduct</w:t>
      </w:r>
      <w:proofErr w:type="spellEnd"/>
      <w:r>
        <w:rPr>
          <w:rFonts w:ascii="Libre Franklin" w:eastAsia="Libre Franklin" w:hAnsi="Libre Franklin" w:cs="Libre Franklin"/>
          <w:color w:val="002060"/>
          <w:sz w:val="24"/>
          <w:szCs w:val="24"/>
        </w:rPr>
        <w:t xml:space="preserve"> Outlook</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Pfizer Inc.</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AstraZeneca PLC</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Merck &amp; Co., Inc.</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8480" behindDoc="1" locked="0" layoutInCell="1" hidden="0" allowOverlap="1">
            <wp:simplePos x="0" y="0"/>
            <wp:positionH relativeFrom="page">
              <wp:posOffset>-1574799</wp:posOffset>
            </wp:positionH>
            <wp:positionV relativeFrom="page">
              <wp:posOffset>-1158239</wp:posOffset>
            </wp:positionV>
            <wp:extent cx="10220215" cy="14454202"/>
            <wp:effectExtent l="0" t="0" r="0" b="0"/>
            <wp:wrapNone/>
            <wp:docPr id="195536784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Bristol-Myers Squibb Company</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Eli Lilly and Company</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Financial Performance</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Amgen Inc.</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Johnson &amp; Johnson</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pBdr>
          <w:top w:val="nil"/>
          <w:left w:val="nil"/>
          <w:bottom w:val="nil"/>
          <w:right w:val="nil"/>
          <w:between w:val="nil"/>
        </w:pBdr>
        <w:spacing w:after="0"/>
        <w:ind w:left="720"/>
        <w:rPr>
          <w:rFonts w:ascii="Libre Franklin" w:eastAsia="Libre Franklin" w:hAnsi="Libre Franklin" w:cs="Libre Franklin"/>
          <w:color w:val="1F3864"/>
          <w:sz w:val="24"/>
          <w:szCs w:val="24"/>
        </w:rPr>
      </w:pPr>
      <w:r>
        <w:rPr>
          <w:rFonts w:ascii="Libre Franklin" w:eastAsia="Libre Franklin" w:hAnsi="Libre Franklin" w:cs="Libre Franklin"/>
          <w:b/>
          <w:color w:val="1F3864"/>
          <w:sz w:val="24"/>
          <w:szCs w:val="24"/>
        </w:rPr>
        <w:t xml:space="preserve"> </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Sanofi S.A.</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9504" behindDoc="1" locked="0" layoutInCell="1" hidden="0" allowOverlap="1">
            <wp:simplePos x="0" y="0"/>
            <wp:positionH relativeFrom="page">
              <wp:posOffset>-1777999</wp:posOffset>
            </wp:positionH>
            <wp:positionV relativeFrom="page">
              <wp:posOffset>-1005839</wp:posOffset>
            </wp:positionV>
            <wp:extent cx="10220215" cy="14454202"/>
            <wp:effectExtent l="0" t="0" r="0" b="0"/>
            <wp:wrapNone/>
            <wp:docPr id="195536783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tabs>
          <w:tab w:val="left" w:pos="1560"/>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1F3864"/>
          <w:sz w:val="24"/>
          <w:szCs w:val="24"/>
        </w:rPr>
        <w:t>Boehringer</w:t>
      </w:r>
      <w:proofErr w:type="spellEnd"/>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Ingelheim</w:t>
      </w:r>
      <w:proofErr w:type="spellEnd"/>
      <w:r>
        <w:rPr>
          <w:rFonts w:ascii="Libre Franklin" w:eastAsia="Libre Franklin" w:hAnsi="Libre Franklin" w:cs="Libre Franklin"/>
          <w:b/>
          <w:color w:val="1F3864"/>
          <w:sz w:val="24"/>
          <w:szCs w:val="24"/>
        </w:rPr>
        <w:t xml:space="preserve"> GmbH</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tabs>
          <w:tab w:val="left" w:pos="1560"/>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GlaxoSmithKline plc</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tabs>
          <w:tab w:val="left" w:pos="1560"/>
          <w:tab w:val="left" w:pos="1701"/>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Regeneron Pharmaceuticals Inc.</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tabs>
          <w:tab w:val="left" w:pos="1560"/>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AbbVie Inc.</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tabs>
          <w:tab w:val="left" w:pos="1560"/>
        </w:tabs>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BeiGene</w:t>
      </w:r>
      <w:proofErr w:type="spellEnd"/>
      <w:r>
        <w:rPr>
          <w:rFonts w:ascii="Libre Franklin" w:eastAsia="Libre Franklin" w:hAnsi="Libre Franklin" w:cs="Libre Franklin"/>
          <w:b/>
          <w:color w:val="002060"/>
          <w:sz w:val="24"/>
          <w:szCs w:val="24"/>
        </w:rPr>
        <w:t>, Ltd.</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70528" behindDoc="1" locked="0" layoutInCell="1" hidden="0" allowOverlap="1">
            <wp:simplePos x="0" y="0"/>
            <wp:positionH relativeFrom="page">
              <wp:posOffset>-1600199</wp:posOffset>
            </wp:positionH>
            <wp:positionV relativeFrom="page">
              <wp:posOffset>-913764</wp:posOffset>
            </wp:positionV>
            <wp:extent cx="10220215" cy="14454202"/>
            <wp:effectExtent l="0" t="0" r="0" b="0"/>
            <wp:wrapNone/>
            <wp:docPr id="195536784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tabs>
          <w:tab w:val="left" w:pos="1701"/>
          <w:tab w:val="left" w:pos="2552"/>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Takeda Pharmaceutical Company Limited</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Key developments</w:t>
      </w:r>
    </w:p>
    <w:p w:rsidR="00094745" w:rsidRDefault="003907CE">
      <w:pPr>
        <w:numPr>
          <w:ilvl w:val="1"/>
          <w:numId w:val="7"/>
        </w:numPr>
        <w:pBdr>
          <w:top w:val="nil"/>
          <w:left w:val="nil"/>
          <w:bottom w:val="nil"/>
          <w:right w:val="nil"/>
          <w:between w:val="nil"/>
        </w:pBdr>
        <w:tabs>
          <w:tab w:val="left" w:pos="1560"/>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Daiichi Sankyo Company, Limited</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tabs>
          <w:tab w:val="left" w:pos="1560"/>
          <w:tab w:val="left" w:pos="2552"/>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F. Hoffmann-La Roche Ltd.</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tabs>
          <w:tab w:val="left" w:pos="1701"/>
          <w:tab w:val="left" w:pos="2552"/>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NeoTX</w:t>
      </w:r>
      <w:proofErr w:type="spellEnd"/>
      <w:r>
        <w:rPr>
          <w:rFonts w:ascii="Libre Franklin" w:eastAsia="Libre Franklin" w:hAnsi="Libre Franklin" w:cs="Libre Franklin"/>
          <w:b/>
          <w:color w:val="002060"/>
          <w:sz w:val="24"/>
          <w:szCs w:val="24"/>
        </w:rPr>
        <w:t xml:space="preserve"> Therapeutics</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tabs>
          <w:tab w:val="left" w:pos="1701"/>
          <w:tab w:val="left" w:pos="2552"/>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Xcovery</w:t>
      </w:r>
      <w:proofErr w:type="spellEnd"/>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71552" behindDoc="1" locked="0" layoutInCell="1" hidden="0" allowOverlap="1">
            <wp:simplePos x="0" y="0"/>
            <wp:positionH relativeFrom="margin">
              <wp:align>center</wp:align>
            </wp:positionH>
            <wp:positionV relativeFrom="page">
              <wp:posOffset>-777239</wp:posOffset>
            </wp:positionV>
            <wp:extent cx="10220215" cy="14454202"/>
            <wp:effectExtent l="0" t="0" r="0" b="0"/>
            <wp:wrapNone/>
            <wp:docPr id="195536783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Product Outlook</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3907CE">
      <w:pPr>
        <w:numPr>
          <w:ilvl w:val="1"/>
          <w:numId w:val="7"/>
        </w:numPr>
        <w:pBdr>
          <w:top w:val="nil"/>
          <w:left w:val="nil"/>
          <w:bottom w:val="nil"/>
          <w:right w:val="nil"/>
          <w:between w:val="nil"/>
        </w:pBdr>
        <w:tabs>
          <w:tab w:val="left" w:pos="1701"/>
          <w:tab w:val="left" w:pos="2552"/>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Nuvation</w:t>
      </w:r>
      <w:proofErr w:type="spellEnd"/>
      <w:r>
        <w:rPr>
          <w:rFonts w:ascii="Libre Franklin" w:eastAsia="Libre Franklin" w:hAnsi="Libre Franklin" w:cs="Libre Franklin"/>
          <w:b/>
          <w:color w:val="002060"/>
          <w:sz w:val="24"/>
          <w:szCs w:val="24"/>
        </w:rPr>
        <w:t xml:space="preserve"> Bio</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Product Outlook</w:t>
      </w:r>
    </w:p>
    <w:p w:rsidR="00094745" w:rsidRDefault="003907CE">
      <w:pPr>
        <w:numPr>
          <w:ilvl w:val="2"/>
          <w:numId w:val="7"/>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745" w:rsidRDefault="00094745">
      <w:pPr>
        <w:pBdr>
          <w:top w:val="nil"/>
          <w:left w:val="nil"/>
          <w:bottom w:val="nil"/>
          <w:right w:val="nil"/>
          <w:between w:val="nil"/>
        </w:pBdr>
        <w:tabs>
          <w:tab w:val="left" w:pos="2552"/>
          <w:tab w:val="left" w:pos="3119"/>
        </w:tabs>
        <w:spacing w:after="0" w:line="480" w:lineRule="auto"/>
        <w:ind w:left="1212"/>
        <w:rPr>
          <w:rFonts w:ascii="Libre Franklin" w:eastAsia="Libre Franklin" w:hAnsi="Libre Franklin" w:cs="Libre Franklin"/>
          <w:b/>
          <w:color w:val="002060"/>
          <w:sz w:val="24"/>
          <w:szCs w:val="24"/>
        </w:rPr>
      </w:pPr>
    </w:p>
    <w:p w:rsidR="00094745" w:rsidRDefault="003907CE">
      <w:pPr>
        <w:numPr>
          <w:ilvl w:val="0"/>
          <w:numId w:val="7"/>
        </w:numPr>
        <w:pBdr>
          <w:top w:val="nil"/>
          <w:left w:val="nil"/>
          <w:bottom w:val="nil"/>
          <w:right w:val="nil"/>
          <w:between w:val="nil"/>
        </w:pBdr>
        <w:tabs>
          <w:tab w:val="left" w:pos="1134"/>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KEY DEVELOPMENTS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Product Launches/Developments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Merges and Acquisitions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Business Expansions</w:t>
      </w:r>
    </w:p>
    <w:p w:rsidR="00094745" w:rsidRDefault="003907CE">
      <w:pPr>
        <w:numPr>
          <w:ilvl w:val="1"/>
          <w:numId w:val="7"/>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Partnerships and Collaborations</w:t>
      </w:r>
    </w:p>
    <w:p w:rsidR="00094745" w:rsidRDefault="003907CE">
      <w:pPr>
        <w:numPr>
          <w:ilvl w:val="0"/>
          <w:numId w:val="7"/>
        </w:numPr>
        <w:pBdr>
          <w:top w:val="nil"/>
          <w:left w:val="nil"/>
          <w:bottom w:val="nil"/>
          <w:right w:val="nil"/>
          <w:between w:val="nil"/>
        </w:pBdr>
        <w:tabs>
          <w:tab w:val="left" w:pos="993"/>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Appendix</w:t>
      </w:r>
    </w:p>
    <w:p w:rsidR="00094745" w:rsidRDefault="003907CE">
      <w:pPr>
        <w:pBdr>
          <w:top w:val="nil"/>
          <w:left w:val="nil"/>
          <w:bottom w:val="nil"/>
          <w:right w:val="nil"/>
          <w:between w:val="nil"/>
        </w:pBdr>
        <w:spacing w:line="480" w:lineRule="auto"/>
        <w:ind w:left="372"/>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12.1 Related Research</w:t>
      </w:r>
    </w:p>
    <w:p w:rsidR="00094745" w:rsidRDefault="00094745"/>
    <w:p w:rsidR="00094745" w:rsidRDefault="00094745"/>
    <w:p w:rsidR="00094745" w:rsidRDefault="00094745"/>
    <w:p w:rsidR="00094745" w:rsidRDefault="00094745"/>
    <w:p w:rsidR="00094745" w:rsidRDefault="00094745"/>
    <w:p w:rsidR="00094745" w:rsidRDefault="00094745"/>
    <w:p w:rsidR="00094745" w:rsidRDefault="00094745"/>
    <w:p w:rsidR="00094745" w:rsidRDefault="00094745"/>
    <w:p w:rsidR="00094745" w:rsidRDefault="00094745"/>
    <w:sectPr w:rsidR="000947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F37D2"/>
    <w:multiLevelType w:val="multilevel"/>
    <w:tmpl w:val="5860C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2E2F63"/>
    <w:multiLevelType w:val="multilevel"/>
    <w:tmpl w:val="46386984"/>
    <w:lvl w:ilvl="0">
      <w:start w:val="1"/>
      <w:numFmt w:val="decimal"/>
      <w:lvlText w:val="%1"/>
      <w:lvlJc w:val="left"/>
      <w:pPr>
        <w:ind w:left="420" w:hanging="420"/>
      </w:pPr>
      <w:rPr>
        <w:sz w:val="40"/>
        <w:szCs w:val="40"/>
      </w:rPr>
    </w:lvl>
    <w:lvl w:ilvl="1">
      <w:start w:val="1"/>
      <w:numFmt w:val="decimal"/>
      <w:lvlText w:val="%1.%2"/>
      <w:lvlJc w:val="left"/>
      <w:pPr>
        <w:ind w:left="720" w:hanging="720"/>
      </w:pPr>
    </w:lvl>
    <w:lvl w:ilvl="2">
      <w:start w:val="1"/>
      <w:numFmt w:val="decimal"/>
      <w:lvlText w:val="%1.%2.%3"/>
      <w:lvlJc w:val="left"/>
      <w:pPr>
        <w:ind w:left="1506"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2" w15:restartNumberingAfterBreak="0">
    <w:nsid w:val="3CED0E61"/>
    <w:multiLevelType w:val="multilevel"/>
    <w:tmpl w:val="A2344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7837C4"/>
    <w:multiLevelType w:val="multilevel"/>
    <w:tmpl w:val="0D10A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9345D46"/>
    <w:multiLevelType w:val="multilevel"/>
    <w:tmpl w:val="10E43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CA8318C"/>
    <w:multiLevelType w:val="multilevel"/>
    <w:tmpl w:val="04DCB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044FF2"/>
    <w:multiLevelType w:val="multilevel"/>
    <w:tmpl w:val="79CCE3A6"/>
    <w:lvl w:ilvl="0">
      <w:start w:val="8"/>
      <w:numFmt w:val="decimal"/>
      <w:lvlText w:val="%1"/>
      <w:lvlJc w:val="left"/>
      <w:pPr>
        <w:ind w:left="720" w:hanging="360"/>
      </w:pPr>
      <w:rPr>
        <w:b/>
        <w:sz w:val="40"/>
        <w:szCs w:val="40"/>
      </w:rPr>
    </w:lvl>
    <w:lvl w:ilvl="1">
      <w:start w:val="1"/>
      <w:numFmt w:val="decimal"/>
      <w:lvlText w:val="%1.%2"/>
      <w:lvlJc w:val="left"/>
      <w:pPr>
        <w:ind w:left="1212" w:hanging="360"/>
      </w:pPr>
    </w:lvl>
    <w:lvl w:ilvl="2">
      <w:start w:val="1"/>
      <w:numFmt w:val="decimal"/>
      <w:lvlText w:val="%1.%2.%3"/>
      <w:lvlJc w:val="left"/>
      <w:pPr>
        <w:ind w:left="2847" w:hanging="720"/>
      </w:pPr>
    </w:lvl>
    <w:lvl w:ilvl="3">
      <w:start w:val="1"/>
      <w:numFmt w:val="decimal"/>
      <w:lvlText w:val="%1.%2.%3.%4"/>
      <w:lvlJc w:val="left"/>
      <w:pPr>
        <w:ind w:left="2916" w:hanging="1079"/>
      </w:pPr>
    </w:lvl>
    <w:lvl w:ilvl="4">
      <w:start w:val="1"/>
      <w:numFmt w:val="decimal"/>
      <w:lvlText w:val="%1.%2.%3.%4.%5"/>
      <w:lvlJc w:val="left"/>
      <w:pPr>
        <w:ind w:left="3408" w:hanging="1080"/>
      </w:pPr>
    </w:lvl>
    <w:lvl w:ilvl="5">
      <w:start w:val="1"/>
      <w:numFmt w:val="decimal"/>
      <w:lvlText w:val="%1.%2.%3.%4.%5.%6"/>
      <w:lvlJc w:val="left"/>
      <w:pPr>
        <w:ind w:left="4260" w:hanging="1440"/>
      </w:pPr>
    </w:lvl>
    <w:lvl w:ilvl="6">
      <w:start w:val="1"/>
      <w:numFmt w:val="decimal"/>
      <w:lvlText w:val="%1.%2.%3.%4.%5.%6.%7"/>
      <w:lvlJc w:val="left"/>
      <w:pPr>
        <w:ind w:left="4752" w:hanging="1440"/>
      </w:pPr>
    </w:lvl>
    <w:lvl w:ilvl="7">
      <w:start w:val="1"/>
      <w:numFmt w:val="decimal"/>
      <w:lvlText w:val="%1.%2.%3.%4.%5.%6.%7.%8"/>
      <w:lvlJc w:val="left"/>
      <w:pPr>
        <w:ind w:left="5604" w:hanging="1800"/>
      </w:pPr>
    </w:lvl>
    <w:lvl w:ilvl="8">
      <w:start w:val="1"/>
      <w:numFmt w:val="decimal"/>
      <w:lvlText w:val="%1.%2.%3.%4.%5.%6.%7.%8.%9"/>
      <w:lvlJc w:val="left"/>
      <w:pPr>
        <w:ind w:left="6096" w:hanging="1800"/>
      </w:p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745"/>
    <w:rsid w:val="00094745"/>
    <w:rsid w:val="00390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9668"/>
  <w15:docId w15:val="{9A414DAE-F0CC-4BC2-A426-E48D8D44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195"/>
  </w:style>
  <w:style w:type="paragraph" w:styleId="Heading1">
    <w:name w:val="heading 1"/>
    <w:basedOn w:val="Normal"/>
    <w:next w:val="Normal"/>
    <w:link w:val="Heading1Char"/>
    <w:uiPriority w:val="9"/>
    <w:qFormat/>
    <w:rsid w:val="009031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31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31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31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31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3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3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31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31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1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31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31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3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195"/>
    <w:rPr>
      <w:rFonts w:eastAsiaTheme="majorEastAsia" w:cstheme="majorBidi"/>
      <w:color w:val="272727" w:themeColor="text1" w:themeTint="D8"/>
    </w:rPr>
  </w:style>
  <w:style w:type="character" w:customStyle="1" w:styleId="TitleChar">
    <w:name w:val="Title Char"/>
    <w:basedOn w:val="DefaultParagraphFont"/>
    <w:link w:val="Title"/>
    <w:uiPriority w:val="10"/>
    <w:rsid w:val="00903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903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195"/>
    <w:pPr>
      <w:spacing w:before="160"/>
      <w:jc w:val="center"/>
    </w:pPr>
    <w:rPr>
      <w:i/>
      <w:iCs/>
      <w:color w:val="404040" w:themeColor="text1" w:themeTint="BF"/>
    </w:rPr>
  </w:style>
  <w:style w:type="character" w:customStyle="1" w:styleId="QuoteChar">
    <w:name w:val="Quote Char"/>
    <w:basedOn w:val="DefaultParagraphFont"/>
    <w:link w:val="Quote"/>
    <w:uiPriority w:val="29"/>
    <w:rsid w:val="00903195"/>
    <w:rPr>
      <w:i/>
      <w:iCs/>
      <w:color w:val="404040" w:themeColor="text1" w:themeTint="BF"/>
    </w:rPr>
  </w:style>
  <w:style w:type="paragraph" w:styleId="ListParagraph">
    <w:name w:val="List Paragraph"/>
    <w:aliases w:val="Lists,MnM Disclaimer,list 1"/>
    <w:basedOn w:val="Normal"/>
    <w:link w:val="ListParagraphChar"/>
    <w:uiPriority w:val="34"/>
    <w:qFormat/>
    <w:rsid w:val="00903195"/>
    <w:pPr>
      <w:ind w:left="720"/>
      <w:contextualSpacing/>
    </w:pPr>
  </w:style>
  <w:style w:type="character" w:styleId="IntenseEmphasis">
    <w:name w:val="Intense Emphasis"/>
    <w:basedOn w:val="DefaultParagraphFont"/>
    <w:uiPriority w:val="21"/>
    <w:qFormat/>
    <w:rsid w:val="00903195"/>
    <w:rPr>
      <w:i/>
      <w:iCs/>
      <w:color w:val="2F5496" w:themeColor="accent1" w:themeShade="BF"/>
    </w:rPr>
  </w:style>
  <w:style w:type="paragraph" w:styleId="IntenseQuote">
    <w:name w:val="Intense Quote"/>
    <w:basedOn w:val="Normal"/>
    <w:next w:val="Normal"/>
    <w:link w:val="IntenseQuoteChar"/>
    <w:uiPriority w:val="30"/>
    <w:qFormat/>
    <w:rsid w:val="009031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3195"/>
    <w:rPr>
      <w:i/>
      <w:iCs/>
      <w:color w:val="2F5496" w:themeColor="accent1" w:themeShade="BF"/>
    </w:rPr>
  </w:style>
  <w:style w:type="character" w:styleId="IntenseReference">
    <w:name w:val="Intense Reference"/>
    <w:basedOn w:val="DefaultParagraphFont"/>
    <w:uiPriority w:val="32"/>
    <w:qFormat/>
    <w:rsid w:val="00903195"/>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90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jdHr+wk1hEefXwJbO5R5JleWaA==">CgMxLjAyDmgudzdzM3NlY3lyazc1Mg5oLmdyYzMweW0xamVreDgAciExTm9faUZsdTA1UHpzM0czUldBNk0xLWo2U202LWNqdFo=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2128</Words>
  <Characters>12130</Characters>
  <Application>Microsoft Office Word</Application>
  <DocSecurity>0</DocSecurity>
  <Lines>101</Lines>
  <Paragraphs>28</Paragraphs>
  <ScaleCrop>false</ScaleCrop>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3</cp:revision>
  <dcterms:created xsi:type="dcterms:W3CDTF">2025-04-25T07:17:00Z</dcterms:created>
  <dcterms:modified xsi:type="dcterms:W3CDTF">2025-05-06T17:32:00Z</dcterms:modified>
</cp:coreProperties>
</file>