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1A0" w:rsidRDefault="00352544">
      <w:pPr>
        <w:spacing w:line="360" w:lineRule="auto"/>
        <w:jc w:val="both"/>
        <w:rPr>
          <w:rFonts w:ascii="Libre Franklin" w:eastAsia="Libre Franklin" w:hAnsi="Libre Franklin" w:cs="Libre Franklin"/>
          <w:b/>
          <w:color w:val="002060"/>
          <w:sz w:val="24"/>
          <w:szCs w:val="24"/>
        </w:rPr>
      </w:pPr>
      <w:bookmarkStart w:id="0" w:name="_heading=h.i4plkplk6dza"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margin">
              <wp:align>center</wp:align>
            </wp:positionH>
            <wp:positionV relativeFrom="page">
              <wp:posOffset>-904239</wp:posOffset>
            </wp:positionV>
            <wp:extent cx="10220215" cy="14454202"/>
            <wp:effectExtent l="0" t="0" r="0" b="0"/>
            <wp:wrapNone/>
            <wp:docPr id="212650345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U.S. Neurological Biomarkers Market  </w:t>
      </w:r>
    </w:p>
    <w:p w:rsidR="001961A0" w:rsidRDefault="00352544">
      <w:pPr>
        <w:spacing w:line="360" w:lineRule="auto"/>
        <w:jc w:val="both"/>
        <w:rPr>
          <w:rFonts w:ascii="Libre Franklin" w:eastAsia="Libre Franklin" w:hAnsi="Libre Franklin" w:cs="Libre Franklin"/>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the U.S. Neurological Biomarkers Market size was valued at USD 2,947.3 Million in 2024 and is projected to reach USD 7,349.52 Million by 2032, growing at a CAGR of 12.52% from 2025 to 2032.</w:t>
      </w:r>
      <w:r>
        <w:rPr>
          <w:rFonts w:ascii="Libre Franklin" w:eastAsia="Libre Franklin" w:hAnsi="Libre Franklin" w:cs="Libre Franklin"/>
        </w:rPr>
        <w:t xml:space="preserve"> </w:t>
      </w:r>
    </w:p>
    <w:p w:rsidR="00352544" w:rsidRDefault="00352544">
      <w:pPr>
        <w:spacing w:line="360" w:lineRule="auto"/>
        <w:jc w:val="both"/>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Neurologic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bookmarkEnd w:id="1"/>
    </w:p>
    <w:bookmarkStart w:id="2" w:name="_heading=h.1jit30ycpuh1" w:colFirst="0" w:colLast="0"/>
    <w:bookmarkEnd w:id="2"/>
    <w:p w:rsidR="001961A0" w:rsidRDefault="00352544">
      <w:pPr>
        <w:spacing w:line="360" w:lineRule="auto"/>
        <w:jc w:val="both"/>
        <w:rPr>
          <w:rFonts w:ascii="Libre Franklin" w:eastAsia="Libre Franklin" w:hAnsi="Libre Franklin" w:cs="Libre Franklin"/>
          <w:color w:val="002060"/>
          <w:sz w:val="24"/>
          <w:szCs w:val="24"/>
        </w:rPr>
      </w:pPr>
      <w:sdt>
        <w:sdtPr>
          <w:tag w:val="goog_rdk_0"/>
          <w:id w:val="-1400444973"/>
        </w:sdtPr>
        <w:sdtEndPr/>
        <w:sdtContent>
          <w:r>
            <w:rPr>
              <w:rFonts w:ascii="Cardo" w:eastAsia="Cardo" w:hAnsi="Cardo" w:cs="Cardo"/>
              <w:color w:val="002060"/>
              <w:sz w:val="24"/>
              <w:szCs w:val="24"/>
            </w:rPr>
            <w:t>The human brain, our most complex organ, governs thought, emotion and identity, yet remains profoundly vulnerable to injury, degeneration and disease. Neurological disorders affect over one billion people worldwide, imposing staggering personal and societa</w:t>
          </w:r>
          <w:r>
            <w:rPr>
              <w:rFonts w:ascii="Cardo" w:eastAsia="Cardo" w:hAnsi="Cardo" w:cs="Cardo"/>
              <w:color w:val="002060"/>
              <w:sz w:val="24"/>
              <w:szCs w:val="24"/>
            </w:rPr>
            <w:t>l costs. Amidst this challenge, neurological biomarkers have emerged as transformative tools, objective indicators that can detect, track and even predict the course of brain disease long before overt symptoms surface. At their core, biomarkers are specifi</w:t>
          </w:r>
          <w:r>
            <w:rPr>
              <w:rFonts w:ascii="Cardo" w:eastAsia="Cardo" w:hAnsi="Cardo" w:cs="Cardo"/>
              <w:color w:val="002060"/>
              <w:sz w:val="24"/>
              <w:szCs w:val="24"/>
            </w:rPr>
            <w:t xml:space="preserve">c, quantifiable indicators that provide insights into the presence, progression, or severity of a disease or condition. In the context of neurological diseases, these biomarkers can take several forms. They may be molecules found in blood or cerebrospinal </w:t>
          </w:r>
          <w:r>
            <w:rPr>
              <w:rFonts w:ascii="Cardo" w:eastAsia="Cardo" w:hAnsi="Cardo" w:cs="Cardo"/>
              <w:color w:val="002060"/>
              <w:sz w:val="24"/>
              <w:szCs w:val="24"/>
            </w:rPr>
            <w:t xml:space="preserve">fluid that directly reflect biological </w:t>
          </w:r>
          <w:proofErr w:type="gramStart"/>
          <w:r>
            <w:rPr>
              <w:rFonts w:ascii="Cardo" w:eastAsia="Cardo" w:hAnsi="Cardo" w:cs="Cardo"/>
              <w:color w:val="002060"/>
              <w:sz w:val="24"/>
              <w:szCs w:val="24"/>
            </w:rPr>
            <w:t>changes</w:t>
          </w:r>
          <w:proofErr w:type="gramEnd"/>
          <w:r>
            <w:rPr>
              <w:rFonts w:ascii="Cardo" w:eastAsia="Cardo" w:hAnsi="Cardo" w:cs="Cardo"/>
              <w:color w:val="002060"/>
              <w:sz w:val="24"/>
              <w:szCs w:val="24"/>
            </w:rPr>
            <w:t xml:space="preserve">, such as the presence of proteins like amyloid-β in Alzheimer’s disease or </w:t>
          </w:r>
          <w:proofErr w:type="spellStart"/>
          <w:r>
            <w:rPr>
              <w:rFonts w:ascii="Cardo" w:eastAsia="Cardo" w:hAnsi="Cardo" w:cs="Cardo"/>
              <w:color w:val="002060"/>
              <w:sz w:val="24"/>
              <w:szCs w:val="24"/>
            </w:rPr>
            <w:t>neurofilament</w:t>
          </w:r>
          <w:proofErr w:type="spellEnd"/>
          <w:r>
            <w:rPr>
              <w:rFonts w:ascii="Cardo" w:eastAsia="Cardo" w:hAnsi="Cardo" w:cs="Cardo"/>
              <w:color w:val="002060"/>
              <w:sz w:val="24"/>
              <w:szCs w:val="24"/>
            </w:rPr>
            <w:t xml:space="preserve"> light chains in multiple sclerosis. Alternatively, biomarkers can manifest as patterns observed on neuroimaging scans, s</w:t>
          </w:r>
          <w:r>
            <w:rPr>
              <w:rFonts w:ascii="Cardo" w:eastAsia="Cardo" w:hAnsi="Cardo" w:cs="Cardo"/>
              <w:color w:val="002060"/>
              <w:sz w:val="24"/>
              <w:szCs w:val="24"/>
            </w:rPr>
            <w:t xml:space="preserve">uch as MRI or PET scans, which reveal structural or functional abnormalities in the brain that correlate with specific neurological conditions. Additionally, electroencephalography (EEG) signatures, which capture the </w:t>
          </w:r>
          <w:r>
            <w:rPr>
              <w:rFonts w:ascii="Cardo" w:eastAsia="Cardo" w:hAnsi="Cardo" w:cs="Cardo"/>
              <w:color w:val="002060"/>
              <w:sz w:val="24"/>
              <w:szCs w:val="24"/>
            </w:rPr>
            <w:lastRenderedPageBreak/>
            <w:t>electrical activity of the brain, can s</w:t>
          </w:r>
          <w:r>
            <w:rPr>
              <w:rFonts w:ascii="Cardo" w:eastAsia="Cardo" w:hAnsi="Cardo" w:cs="Cardo"/>
              <w:color w:val="002060"/>
              <w:sz w:val="24"/>
              <w:szCs w:val="24"/>
            </w:rPr>
            <w:t>erve as biomarkers for conditions like epilepsy or certain types of encephalopathy. Beyond early diagnosis, neurological biomarkers are revolutionizing clinical trials and personalized medicine. By stratifying patients according to molecular signature, tri</w:t>
          </w:r>
          <w:r>
            <w:rPr>
              <w:rFonts w:ascii="Cardo" w:eastAsia="Cardo" w:hAnsi="Cardo" w:cs="Cardo"/>
              <w:color w:val="002060"/>
              <w:sz w:val="24"/>
              <w:szCs w:val="24"/>
            </w:rPr>
            <w:t xml:space="preserve">als can </w:t>
          </w:r>
          <w:proofErr w:type="spellStart"/>
          <w:r>
            <w:rPr>
              <w:rFonts w:ascii="Cardo" w:eastAsia="Cardo" w:hAnsi="Cardo" w:cs="Cardo"/>
              <w:color w:val="002060"/>
              <w:sz w:val="24"/>
              <w:szCs w:val="24"/>
            </w:rPr>
            <w:t>enroll</w:t>
          </w:r>
          <w:proofErr w:type="spellEnd"/>
          <w:r>
            <w:rPr>
              <w:rFonts w:ascii="Cardo" w:eastAsia="Cardo" w:hAnsi="Cardo" w:cs="Cardo"/>
              <w:color w:val="002060"/>
              <w:sz w:val="24"/>
              <w:szCs w:val="24"/>
            </w:rPr>
            <w:t xml:space="preserve"> more homogeneous cohorts, dramatically increasing statistical power and slashing development time for novel therapies. With ongoing advancements in proteomics, genomics, and imaging technologies, the potential of neurological biomarkers has </w:t>
          </w:r>
          <w:r>
            <w:rPr>
              <w:rFonts w:ascii="Cardo" w:eastAsia="Cardo" w:hAnsi="Cardo" w:cs="Cardo"/>
              <w:color w:val="002060"/>
              <w:sz w:val="24"/>
              <w:szCs w:val="24"/>
            </w:rPr>
            <w:t>never been closer to reality. These innovations are poised to unveil hidden disease mechanisms, predict the course of neurological disorders, and pave the way for a new era of precision neurology, where treatments are tailored to the individual based on mo</w:t>
          </w:r>
          <w:r>
            <w:rPr>
              <w:rFonts w:ascii="Cardo" w:eastAsia="Cardo" w:hAnsi="Cardo" w:cs="Cardo"/>
              <w:color w:val="002060"/>
              <w:sz w:val="24"/>
              <w:szCs w:val="24"/>
            </w:rPr>
            <w:t>lecular and biological insights.</w:t>
          </w:r>
        </w:sdtContent>
      </w:sdt>
    </w:p>
    <w:p w:rsidR="001961A0" w:rsidRDefault="001961A0">
      <w:pPr>
        <w:spacing w:line="360" w:lineRule="auto"/>
        <w:jc w:val="both"/>
        <w:rPr>
          <w:rFonts w:ascii="Libre Franklin" w:eastAsia="Libre Franklin" w:hAnsi="Libre Franklin" w:cs="Libre Franklin"/>
          <w:b/>
          <w:color w:val="002060"/>
          <w:sz w:val="24"/>
          <w:szCs w:val="24"/>
        </w:rPr>
      </w:pP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Neurological Biomarkers Market Definition</w:t>
      </w:r>
    </w:p>
    <w:p w:rsidR="001961A0" w:rsidRDefault="00352544">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Neurological Biomarkers Market refers to the sector focused on the development, commercialization, and use of biomarkers to diagnose, monitor, and treat neurologica</w:t>
      </w:r>
      <w:r>
        <w:rPr>
          <w:rFonts w:ascii="Libre Franklin" w:eastAsia="Libre Franklin" w:hAnsi="Libre Franklin" w:cs="Libre Franklin"/>
          <w:color w:val="002060"/>
          <w:sz w:val="24"/>
          <w:szCs w:val="24"/>
        </w:rPr>
        <w:t xml:space="preserve">l </w:t>
      </w: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-792479</wp:posOffset>
            </wp:positionH>
            <wp:positionV relativeFrom="page">
              <wp:posOffset>-776604</wp:posOffset>
            </wp:positionV>
            <wp:extent cx="10220215" cy="14454202"/>
            <wp:effectExtent l="0" t="0" r="0" b="0"/>
            <wp:wrapNone/>
            <wp:docPr id="212650346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disorders. The market includes a variety of products and services, such as diagnostic tests, imaging methods, and laboratory assays, alongside ongoing research and development aimed at identifying new biomarkers. Additionally, it features tools for pers</w:t>
      </w:r>
      <w:r>
        <w:rPr>
          <w:rFonts w:ascii="Libre Franklin" w:eastAsia="Libre Franklin" w:hAnsi="Libre Franklin" w:cs="Libre Franklin"/>
          <w:color w:val="002060"/>
          <w:sz w:val="24"/>
          <w:szCs w:val="24"/>
        </w:rPr>
        <w:t>onalized medicine, which allow healthcare providers to make more tailored treatment decisions based on an individual's unique biomarker profile.</w:t>
      </w:r>
    </w:p>
    <w:p w:rsidR="001961A0" w:rsidRDefault="001961A0">
      <w:pPr>
        <w:spacing w:line="360" w:lineRule="auto"/>
        <w:jc w:val="both"/>
        <w:rPr>
          <w:rFonts w:ascii="Libre Franklin" w:eastAsia="Libre Franklin" w:hAnsi="Libre Franklin" w:cs="Libre Franklin"/>
          <w:color w:val="002060"/>
          <w:sz w:val="24"/>
          <w:szCs w:val="24"/>
        </w:rPr>
      </w:pP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Neurological Biomarkers Market Overview</w:t>
      </w:r>
    </w:p>
    <w:p w:rsidR="001961A0" w:rsidRDefault="00352544">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Neurological Biomarkers Market is propelled by several k</w:t>
      </w:r>
      <w:r>
        <w:rPr>
          <w:rFonts w:ascii="Libre Franklin" w:eastAsia="Libre Franklin" w:hAnsi="Libre Franklin" w:cs="Libre Franklin"/>
          <w:color w:val="002060"/>
          <w:sz w:val="24"/>
          <w:szCs w:val="24"/>
        </w:rPr>
        <w:t xml:space="preserve">ey drivers. The rising incidence of neurological conditions, particularly in aging populations, is a significant driver. Diseases like Alzheimer's, Parkinson's, and multiple sclerosis are becoming more common, </w:t>
      </w:r>
      <w:proofErr w:type="spellStart"/>
      <w:r>
        <w:rPr>
          <w:rFonts w:ascii="Libre Franklin" w:eastAsia="Libre Franklin" w:hAnsi="Libre Franklin" w:cs="Libre Franklin"/>
          <w:color w:val="002060"/>
          <w:sz w:val="24"/>
          <w:szCs w:val="24"/>
        </w:rPr>
        <w:t>fueling</w:t>
      </w:r>
      <w:proofErr w:type="spellEnd"/>
      <w:r>
        <w:rPr>
          <w:rFonts w:ascii="Libre Franklin" w:eastAsia="Libre Franklin" w:hAnsi="Libre Franklin" w:cs="Libre Franklin"/>
          <w:color w:val="002060"/>
          <w:sz w:val="24"/>
          <w:szCs w:val="24"/>
        </w:rPr>
        <w:t xml:space="preserve"> the demand for early diagnostic tools </w:t>
      </w:r>
      <w:r>
        <w:rPr>
          <w:rFonts w:ascii="Libre Franklin" w:eastAsia="Libre Franklin" w:hAnsi="Libre Franklin" w:cs="Libre Franklin"/>
          <w:color w:val="002060"/>
          <w:sz w:val="24"/>
          <w:szCs w:val="24"/>
        </w:rPr>
        <w:t xml:space="preserve">and effective treatment strategies. Early detection of neurological diseases is critical to improving treatment outcomes. In addition, continuous progress in genomics, </w:t>
      </w:r>
      <w:r>
        <w:rPr>
          <w:rFonts w:ascii="Libre Franklin" w:eastAsia="Libre Franklin" w:hAnsi="Libre Franklin" w:cs="Libre Franklin"/>
          <w:color w:val="002060"/>
          <w:sz w:val="24"/>
          <w:szCs w:val="24"/>
        </w:rPr>
        <w:lastRenderedPageBreak/>
        <w:t>proteomics, and imaging technologies has improved the sensitivity and accuracy of neurol</w:t>
      </w:r>
      <w:r>
        <w:rPr>
          <w:rFonts w:ascii="Libre Franklin" w:eastAsia="Libre Franklin" w:hAnsi="Libre Franklin" w:cs="Libre Franklin"/>
          <w:color w:val="002060"/>
          <w:sz w:val="24"/>
          <w:szCs w:val="24"/>
        </w:rPr>
        <w:t>ogical biomarkers. These technological advancements allow for more precise diagnostics, real-time monitoring, and the discovery of novel biomarkers, facilitating better disease management. Moreover, the growing emphasis on personalized or precision medicin</w:t>
      </w:r>
      <w:r>
        <w:rPr>
          <w:rFonts w:ascii="Libre Franklin" w:eastAsia="Libre Franklin" w:hAnsi="Libre Franklin" w:cs="Libre Franklin"/>
          <w:color w:val="002060"/>
          <w:sz w:val="24"/>
          <w:szCs w:val="24"/>
        </w:rPr>
        <w:t>e is a crucial driver. This shift from generalized treatments to patient-specific care is enhancing outcomes and improving the quality of life for patients. Regulatory support from agencies like the FDA has played a crucial role in accelerating the adoptio</w:t>
      </w:r>
      <w:r>
        <w:rPr>
          <w:rFonts w:ascii="Libre Franklin" w:eastAsia="Libre Franklin" w:hAnsi="Libre Franklin" w:cs="Libre Franklin"/>
          <w:color w:val="002060"/>
          <w:sz w:val="24"/>
          <w:szCs w:val="24"/>
        </w:rPr>
        <w:t>n of biomarker-based diagnostics and treatments.</w:t>
      </w:r>
      <w:r>
        <w:t xml:space="preserve"> </w:t>
      </w:r>
      <w:r>
        <w:rPr>
          <w:rFonts w:ascii="Libre Franklin" w:eastAsia="Libre Franklin" w:hAnsi="Libre Franklin" w:cs="Libre Franklin"/>
          <w:color w:val="002060"/>
          <w:sz w:val="24"/>
          <w:szCs w:val="24"/>
        </w:rPr>
        <w:t>By providing clearer guidelines for the validation and use of biomarkers, the FDA has helped ensure that these innovations meet rigorous standards for safety and efficacy. These factors collectively contribu</w:t>
      </w:r>
      <w:r>
        <w:rPr>
          <w:rFonts w:ascii="Libre Franklin" w:eastAsia="Libre Franklin" w:hAnsi="Libre Franklin" w:cs="Libre Franklin"/>
          <w:color w:val="002060"/>
          <w:sz w:val="24"/>
          <w:szCs w:val="24"/>
        </w:rPr>
        <w:t>te to the rapid evolution of the U.S. Neurological Biomarkers Market, offering significant opportunities for innovation and improved patient outcomes.</w:t>
      </w:r>
    </w:p>
    <w:p w:rsidR="001961A0" w:rsidRDefault="001961A0">
      <w:pPr>
        <w:spacing w:line="360" w:lineRule="auto"/>
        <w:jc w:val="both"/>
        <w:rPr>
          <w:rFonts w:ascii="Libre Franklin" w:eastAsia="Libre Franklin" w:hAnsi="Libre Franklin" w:cs="Libre Franklin"/>
          <w:b/>
          <w:color w:val="002060"/>
          <w:sz w:val="24"/>
          <w:szCs w:val="24"/>
        </w:rPr>
      </w:pP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Neurological Biomarkers Market Segmentation</w:t>
      </w:r>
    </w:p>
    <w:p w:rsidR="001961A0" w:rsidRDefault="00352544">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Neurological Biomarkers Market can be segmente</w:t>
      </w:r>
      <w:r>
        <w:rPr>
          <w:rFonts w:ascii="Libre Franklin" w:eastAsia="Libre Franklin" w:hAnsi="Libre Franklin" w:cs="Libre Franklin"/>
          <w:color w:val="002060"/>
          <w:sz w:val="24"/>
          <w:szCs w:val="24"/>
        </w:rPr>
        <w:t>d based on several factors, including type, application, technology, and end-user.</w:t>
      </w:r>
    </w:p>
    <w:p w:rsidR="001961A0" w:rsidRDefault="001961A0">
      <w:pPr>
        <w:spacing w:line="360" w:lineRule="auto"/>
        <w:jc w:val="both"/>
        <w:rPr>
          <w:rFonts w:ascii="Libre Franklin" w:eastAsia="Libre Franklin" w:hAnsi="Libre Franklin" w:cs="Libre Franklin"/>
          <w:b/>
          <w:color w:val="002060"/>
          <w:sz w:val="24"/>
          <w:szCs w:val="24"/>
        </w:rPr>
      </w:pP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Neurological Biomarkers Market, By Type</w:t>
      </w:r>
    </w:p>
    <w:p w:rsidR="001961A0" w:rsidRDefault="00352544">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0288" behindDoc="1" locked="0" layoutInCell="1" hidden="0" allowOverlap="1">
            <wp:simplePos x="0" y="0"/>
            <wp:positionH relativeFrom="page">
              <wp:posOffset>-1051559</wp:posOffset>
            </wp:positionH>
            <wp:positionV relativeFrom="page">
              <wp:posOffset>-1156334</wp:posOffset>
            </wp:positionV>
            <wp:extent cx="10220215" cy="14454202"/>
            <wp:effectExtent l="0" t="0" r="0" b="0"/>
            <wp:wrapNone/>
            <wp:docPr id="212650346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Proteomics-based Biomarkers</w:t>
      </w:r>
    </w:p>
    <w:p w:rsidR="001961A0" w:rsidRDefault="00352544">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Genomics-based Biomarkers</w:t>
      </w:r>
    </w:p>
    <w:p w:rsidR="001961A0" w:rsidRDefault="00352544">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Metabolomics-based Biomarkers</w:t>
      </w:r>
    </w:p>
    <w:p w:rsidR="001961A0" w:rsidRDefault="00352544">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Electrophysiology-based Biomarkers</w:t>
      </w:r>
    </w:p>
    <w:p w:rsidR="001961A0" w:rsidRDefault="00352544">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Imaging-based Biomarkers</w:t>
      </w:r>
    </w:p>
    <w:p w:rsidR="001961A0" w:rsidRDefault="00352544">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Neurological Biomarkers Market is diverse, with each type of biomarker contributing significantly to the market’s growth. Among these, Proteomics-based Biomarkers dominate the market share. Genomics-based Biomarkers follow</w:t>
      </w:r>
      <w:r>
        <w:rPr>
          <w:rFonts w:ascii="Libre Franklin" w:eastAsia="Libre Franklin" w:hAnsi="Libre Franklin" w:cs="Libre Franklin"/>
          <w:color w:val="002060"/>
          <w:sz w:val="24"/>
          <w:szCs w:val="24"/>
        </w:rPr>
        <w:t xml:space="preserve"> closely, driven by the increasing interest in genetic predispositions to </w:t>
      </w:r>
      <w:r>
        <w:rPr>
          <w:rFonts w:ascii="Libre Franklin" w:eastAsia="Libre Franklin" w:hAnsi="Libre Franklin" w:cs="Libre Franklin"/>
          <w:color w:val="002060"/>
          <w:sz w:val="24"/>
          <w:szCs w:val="24"/>
        </w:rPr>
        <w:lastRenderedPageBreak/>
        <w:t>neurological disorders and advancements in genomic sequencing technologies, making them critical for personalized treatment strategies. Metabolomics-based Biomarkers are gaining trac</w:t>
      </w:r>
      <w:r>
        <w:rPr>
          <w:rFonts w:ascii="Libre Franklin" w:eastAsia="Libre Franklin" w:hAnsi="Libre Franklin" w:cs="Libre Franklin"/>
          <w:color w:val="002060"/>
          <w:sz w:val="24"/>
          <w:szCs w:val="24"/>
        </w:rPr>
        <w:t>tion, particularly in understanding the metabolic shifts in neurological conditions, with their ability to provide insights into disease mechanisms. Electrophysiology-based biomarkers, including EEG, play a crucial role in diagnosing conditions like epilep</w:t>
      </w:r>
      <w:r>
        <w:rPr>
          <w:rFonts w:ascii="Libre Franklin" w:eastAsia="Libre Franklin" w:hAnsi="Libre Franklin" w:cs="Libre Franklin"/>
          <w:color w:val="002060"/>
          <w:sz w:val="24"/>
          <w:szCs w:val="24"/>
        </w:rPr>
        <w:t>sy, where the brain's electrical activity patterns are closely linked to the onset of symptoms. Additionally, imaging-based biomarkers, leveraging technologies such as MRI and PET scans, are pivotal in the market, particularly for the early detection and o</w:t>
      </w:r>
      <w:r>
        <w:rPr>
          <w:rFonts w:ascii="Libre Franklin" w:eastAsia="Libre Franklin" w:hAnsi="Libre Franklin" w:cs="Libre Franklin"/>
          <w:color w:val="002060"/>
          <w:sz w:val="24"/>
          <w:szCs w:val="24"/>
        </w:rPr>
        <w:t>ngoing monitoring of brain abnormalities, offering valuable insights into neurological conditions.</w:t>
      </w:r>
    </w:p>
    <w:p w:rsidR="001961A0" w:rsidRDefault="001961A0">
      <w:pPr>
        <w:spacing w:line="360" w:lineRule="auto"/>
        <w:jc w:val="both"/>
        <w:rPr>
          <w:rFonts w:ascii="Libre Franklin" w:eastAsia="Libre Franklin" w:hAnsi="Libre Franklin" w:cs="Libre Franklin"/>
          <w:b/>
          <w:color w:val="002060"/>
          <w:sz w:val="24"/>
          <w:szCs w:val="24"/>
        </w:rPr>
      </w:pP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Neurological Biomarkers Market, By Application</w:t>
      </w:r>
    </w:p>
    <w:p w:rsidR="001961A0" w:rsidRDefault="00352544">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Alzheimer’s Disease</w:t>
      </w:r>
    </w:p>
    <w:p w:rsidR="001961A0" w:rsidRDefault="00352544">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Parkinson’s Disease</w:t>
      </w:r>
    </w:p>
    <w:p w:rsidR="001961A0" w:rsidRDefault="00352544">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Epilepsy</w:t>
      </w:r>
    </w:p>
    <w:p w:rsidR="001961A0" w:rsidRDefault="00352544">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Multiple Sclerosis</w:t>
      </w:r>
    </w:p>
    <w:p w:rsidR="001961A0" w:rsidRDefault="00352544">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Others</w:t>
      </w:r>
    </w:p>
    <w:p w:rsidR="001961A0" w:rsidRDefault="00352544">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Neurological Biomarkers Market is significantly driven by its diverse applications in diagnosing and managing various neurological conditions, with </w:t>
      </w:r>
      <w:proofErr w:type="gramStart"/>
      <w:r>
        <w:rPr>
          <w:rFonts w:ascii="Libre Franklin" w:eastAsia="Libre Franklin" w:hAnsi="Libre Franklin" w:cs="Libre Franklin"/>
          <w:color w:val="002060"/>
          <w:sz w:val="24"/>
          <w:szCs w:val="24"/>
        </w:rPr>
        <w:t>Alzheimer’s Disease</w:t>
      </w:r>
      <w:proofErr w:type="gramEnd"/>
      <w:r>
        <w:rPr>
          <w:rFonts w:ascii="Libre Franklin" w:eastAsia="Libre Franklin" w:hAnsi="Libre Franklin" w:cs="Libre Franklin"/>
          <w:color w:val="002060"/>
          <w:sz w:val="24"/>
          <w:szCs w:val="24"/>
        </w:rPr>
        <w:t xml:space="preserve"> leading the market share due to the high prevalence of the disease and the grow</w:t>
      </w:r>
      <w:r>
        <w:rPr>
          <w:rFonts w:ascii="Libre Franklin" w:eastAsia="Libre Franklin" w:hAnsi="Libre Franklin" w:cs="Libre Franklin"/>
          <w:color w:val="002060"/>
          <w:sz w:val="24"/>
          <w:szCs w:val="24"/>
        </w:rPr>
        <w:t xml:space="preserve">ing demand for early diagnostic tools. </w:t>
      </w:r>
      <w:proofErr w:type="gramStart"/>
      <w:r>
        <w:rPr>
          <w:rFonts w:ascii="Libre Franklin" w:eastAsia="Libre Franklin" w:hAnsi="Libre Franklin" w:cs="Libre Franklin"/>
          <w:color w:val="002060"/>
          <w:sz w:val="24"/>
          <w:szCs w:val="24"/>
        </w:rPr>
        <w:t>Parkinson’s Disease</w:t>
      </w:r>
      <w:proofErr w:type="gramEnd"/>
      <w:r>
        <w:rPr>
          <w:rFonts w:ascii="Libre Franklin" w:eastAsia="Libre Franklin" w:hAnsi="Libre Franklin" w:cs="Libre Franklin"/>
          <w:color w:val="002060"/>
          <w:sz w:val="24"/>
          <w:szCs w:val="24"/>
        </w:rPr>
        <w:t xml:space="preserve"> follows closely, with biomarkers like </w:t>
      </w:r>
      <w:proofErr w:type="spellStart"/>
      <w:r>
        <w:rPr>
          <w:rFonts w:ascii="Libre Franklin" w:eastAsia="Libre Franklin" w:hAnsi="Libre Franklin" w:cs="Libre Franklin"/>
          <w:color w:val="002060"/>
          <w:sz w:val="24"/>
          <w:szCs w:val="24"/>
        </w:rPr>
        <w:t>neurofilament</w:t>
      </w:r>
      <w:proofErr w:type="spellEnd"/>
      <w:r>
        <w:rPr>
          <w:rFonts w:ascii="Libre Franklin" w:eastAsia="Libre Franklin" w:hAnsi="Libre Franklin" w:cs="Libre Franklin"/>
          <w:color w:val="002060"/>
          <w:sz w:val="24"/>
          <w:szCs w:val="24"/>
        </w:rPr>
        <w:t xml:space="preserve"> light chain and alpha-</w:t>
      </w:r>
      <w:proofErr w:type="spellStart"/>
      <w:r>
        <w:rPr>
          <w:rFonts w:ascii="Libre Franklin" w:eastAsia="Libre Franklin" w:hAnsi="Libre Franklin" w:cs="Libre Franklin"/>
          <w:color w:val="002060"/>
          <w:sz w:val="24"/>
          <w:szCs w:val="24"/>
        </w:rPr>
        <w:t>synuclein</w:t>
      </w:r>
      <w:proofErr w:type="spellEnd"/>
      <w:r>
        <w:rPr>
          <w:rFonts w:ascii="Libre Franklin" w:eastAsia="Libre Franklin" w:hAnsi="Libre Franklin" w:cs="Libre Franklin"/>
          <w:color w:val="002060"/>
          <w:sz w:val="24"/>
          <w:szCs w:val="24"/>
        </w:rPr>
        <w:t xml:space="preserve"> playing a key role in monitoring disease progression and therapeutic efficacy. Epilepsy is another major applicat</w:t>
      </w:r>
      <w:r>
        <w:rPr>
          <w:rFonts w:ascii="Libre Franklin" w:eastAsia="Libre Franklin" w:hAnsi="Libre Franklin" w:cs="Libre Franklin"/>
          <w:color w:val="002060"/>
          <w:sz w:val="24"/>
          <w:szCs w:val="24"/>
        </w:rPr>
        <w:t xml:space="preserve">ion, where electrophysiology-based biomarkers, including EEG, are widely used for diagnosing and </w:t>
      </w: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-1219199</wp:posOffset>
            </wp:positionH>
            <wp:positionV relativeFrom="page">
              <wp:posOffset>-640079</wp:posOffset>
            </wp:positionV>
            <wp:extent cx="10220215" cy="14454202"/>
            <wp:effectExtent l="0" t="0" r="0" b="0"/>
            <wp:wrapNone/>
            <wp:docPr id="212650346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tracking seizures. Multiple Sclerosis also contributes a substantial share, with biomarkers like </w:t>
      </w:r>
      <w:proofErr w:type="spellStart"/>
      <w:r>
        <w:rPr>
          <w:rFonts w:ascii="Libre Franklin" w:eastAsia="Libre Franklin" w:hAnsi="Libre Franklin" w:cs="Libre Franklin"/>
          <w:color w:val="002060"/>
          <w:sz w:val="24"/>
          <w:szCs w:val="24"/>
        </w:rPr>
        <w:t>neurofilament</w:t>
      </w:r>
      <w:proofErr w:type="spellEnd"/>
      <w:r>
        <w:rPr>
          <w:rFonts w:ascii="Libre Franklin" w:eastAsia="Libre Franklin" w:hAnsi="Libre Franklin" w:cs="Libre Franklin"/>
          <w:color w:val="002060"/>
          <w:sz w:val="24"/>
          <w:szCs w:val="24"/>
        </w:rPr>
        <w:t xml:space="preserve"> light chain helping clinicians assess disease a</w:t>
      </w:r>
      <w:r>
        <w:rPr>
          <w:rFonts w:ascii="Libre Franklin" w:eastAsia="Libre Franklin" w:hAnsi="Libre Franklin" w:cs="Libre Franklin"/>
          <w:color w:val="002060"/>
          <w:sz w:val="24"/>
          <w:szCs w:val="24"/>
        </w:rPr>
        <w:t xml:space="preserve">ctivity and progression. The </w:t>
      </w:r>
      <w:proofErr w:type="gramStart"/>
      <w:r>
        <w:rPr>
          <w:rFonts w:ascii="Libre Franklin" w:eastAsia="Libre Franklin" w:hAnsi="Libre Franklin" w:cs="Libre Franklin"/>
          <w:color w:val="002060"/>
          <w:sz w:val="24"/>
          <w:szCs w:val="24"/>
        </w:rPr>
        <w:t>Others</w:t>
      </w:r>
      <w:proofErr w:type="gramEnd"/>
      <w:r>
        <w:rPr>
          <w:rFonts w:ascii="Libre Franklin" w:eastAsia="Libre Franklin" w:hAnsi="Libre Franklin" w:cs="Libre Franklin"/>
          <w:color w:val="002060"/>
          <w:sz w:val="24"/>
          <w:szCs w:val="24"/>
        </w:rPr>
        <w:t xml:space="preserve"> category includes a variety of neurological disorders, such as Huntington’s disease and ALS, where emerging biomarkers are continuously being explored.</w:t>
      </w:r>
    </w:p>
    <w:p w:rsidR="001961A0" w:rsidRDefault="001961A0">
      <w:pPr>
        <w:spacing w:line="360" w:lineRule="auto"/>
        <w:jc w:val="both"/>
        <w:rPr>
          <w:rFonts w:ascii="Libre Franklin" w:eastAsia="Libre Franklin" w:hAnsi="Libre Franklin" w:cs="Libre Franklin"/>
          <w:b/>
          <w:color w:val="002060"/>
          <w:sz w:val="24"/>
          <w:szCs w:val="24"/>
        </w:rPr>
      </w:pP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Neurological Biomarkers Market, By Technology</w:t>
      </w:r>
    </w:p>
    <w:p w:rsidR="001961A0" w:rsidRDefault="00352544">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Imaging Techniqu</w:t>
      </w:r>
      <w:r>
        <w:rPr>
          <w:rFonts w:ascii="Libre Franklin" w:eastAsia="Libre Franklin" w:hAnsi="Libre Franklin" w:cs="Libre Franklin"/>
          <w:b/>
          <w:color w:val="002060"/>
          <w:sz w:val="24"/>
          <w:szCs w:val="24"/>
        </w:rPr>
        <w:t>es</w:t>
      </w:r>
    </w:p>
    <w:p w:rsidR="001961A0" w:rsidRDefault="00352544">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Biochemical Assays</w:t>
      </w:r>
    </w:p>
    <w:p w:rsidR="001961A0" w:rsidRDefault="00352544">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Genetic Testing</w:t>
      </w:r>
    </w:p>
    <w:p w:rsidR="001961A0" w:rsidRDefault="00352544">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EEG</w:t>
      </w:r>
    </w:p>
    <w:p w:rsidR="001961A0" w:rsidRDefault="00352544">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Mass Spectrometry and Chromatography</w:t>
      </w:r>
    </w:p>
    <w:p w:rsidR="001961A0" w:rsidRDefault="00352544">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Neurological Biomarkers Market is significantly shaped by various advanced technologies, each contributing uniquely to the detection and monitoring of neurological diso</w:t>
      </w:r>
      <w:r>
        <w:rPr>
          <w:rFonts w:ascii="Libre Franklin" w:eastAsia="Libre Franklin" w:hAnsi="Libre Franklin" w:cs="Libre Franklin"/>
          <w:color w:val="002060"/>
          <w:sz w:val="24"/>
          <w:szCs w:val="24"/>
        </w:rPr>
        <w:t xml:space="preserve">rders. Imaging Techniques, such as MRI, PET, and CT scans, hold the largest market share due to their ability to visualize brain structure and function. Biochemical Assays also represent a key segment, as they are widely used to measure specific biomarker </w:t>
      </w:r>
      <w:r>
        <w:rPr>
          <w:rFonts w:ascii="Libre Franklin" w:eastAsia="Libre Franklin" w:hAnsi="Libre Franklin" w:cs="Libre Franklin"/>
          <w:color w:val="002060"/>
          <w:sz w:val="24"/>
          <w:szCs w:val="24"/>
        </w:rPr>
        <w:t>levels in blood, cerebrospinal fluid, and other bodily fluids, offering non-invasive and reliable diagnostic solutions for conditions like multiple sclerosis and epilepsy. Genetic testing is increasingly important, especially for identifying genetic predis</w:t>
      </w:r>
      <w:r>
        <w:rPr>
          <w:rFonts w:ascii="Libre Franklin" w:eastAsia="Libre Franklin" w:hAnsi="Libre Franklin" w:cs="Libre Franklin"/>
          <w:color w:val="002060"/>
          <w:sz w:val="24"/>
          <w:szCs w:val="24"/>
        </w:rPr>
        <w:t xml:space="preserve">positions to neurological disorders, and plays a crucial role in personalized medicine by enabling the customization of treatments based on an individual's unique genetic makeup. On the other hand, EEG continues to be a vital technology for monitoring the </w:t>
      </w:r>
      <w:r>
        <w:rPr>
          <w:rFonts w:ascii="Libre Franklin" w:eastAsia="Libre Franklin" w:hAnsi="Libre Franklin" w:cs="Libre Franklin"/>
          <w:color w:val="002060"/>
          <w:sz w:val="24"/>
          <w:szCs w:val="24"/>
        </w:rPr>
        <w:t xml:space="preserve">brain's electrical activity, particularly in conditions like epilepsy, where it is instrumental in tracking and managing seizure events. Mass Spectrometry and Chromatography are emerging as powerful tools for </w:t>
      </w:r>
      <w:proofErr w:type="spellStart"/>
      <w:r>
        <w:rPr>
          <w:rFonts w:ascii="Libre Franklin" w:eastAsia="Libre Franklin" w:hAnsi="Libre Franklin" w:cs="Libre Franklin"/>
          <w:color w:val="002060"/>
          <w:sz w:val="24"/>
          <w:szCs w:val="24"/>
        </w:rPr>
        <w:t>analyzing</w:t>
      </w:r>
      <w:proofErr w:type="spellEnd"/>
      <w:r>
        <w:rPr>
          <w:rFonts w:ascii="Libre Franklin" w:eastAsia="Libre Franklin" w:hAnsi="Libre Franklin" w:cs="Libre Franklin"/>
          <w:color w:val="002060"/>
          <w:sz w:val="24"/>
          <w:szCs w:val="24"/>
        </w:rPr>
        <w:t xml:space="preserve"> complex protein and metabolite profil</w:t>
      </w:r>
      <w:r>
        <w:rPr>
          <w:rFonts w:ascii="Libre Franklin" w:eastAsia="Libre Franklin" w:hAnsi="Libre Franklin" w:cs="Libre Franklin"/>
          <w:color w:val="002060"/>
          <w:sz w:val="24"/>
          <w:szCs w:val="24"/>
        </w:rPr>
        <w:t>es, crucial for discovering novel biomarkers and advancing the understanding of neurological diseases.</w:t>
      </w:r>
    </w:p>
    <w:p w:rsidR="001961A0" w:rsidRDefault="001961A0">
      <w:pPr>
        <w:spacing w:line="360" w:lineRule="auto"/>
        <w:jc w:val="both"/>
        <w:rPr>
          <w:rFonts w:ascii="Libre Franklin" w:eastAsia="Libre Franklin" w:hAnsi="Libre Franklin" w:cs="Libre Franklin"/>
          <w:color w:val="002060"/>
          <w:sz w:val="24"/>
          <w:szCs w:val="24"/>
        </w:rPr>
      </w:pP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Neurological Biomarkers Market, By End-User</w:t>
      </w:r>
    </w:p>
    <w:p w:rsidR="001961A0" w:rsidRDefault="00352544">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Hospitals and Clinics</w:t>
      </w:r>
    </w:p>
    <w:p w:rsidR="001961A0" w:rsidRDefault="00352544">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Diagnostic Laboratories</w:t>
      </w:r>
    </w:p>
    <w:p w:rsidR="001961A0" w:rsidRDefault="00352544">
      <w:pPr>
        <w:numPr>
          <w:ilvl w:val="0"/>
          <w:numId w:val="6"/>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Research and Academic Institutions</w:t>
      </w:r>
    </w:p>
    <w:p w:rsidR="001961A0" w:rsidRDefault="00352544">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-1142999</wp:posOffset>
            </wp:positionH>
            <wp:positionV relativeFrom="page">
              <wp:posOffset>-1112519</wp:posOffset>
            </wp:positionV>
            <wp:extent cx="10220215" cy="14454202"/>
            <wp:effectExtent l="0" t="0" r="0" b="0"/>
            <wp:wrapNone/>
            <wp:docPr id="212650346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The U.S. Neurological Biomarkers Market is driven by diverse end-users, each playing a critical role in the adoption and application of biomarkers for neurological diseases. Hospitals and Clinics dominate the market share, as they are primary settings for </w:t>
      </w:r>
      <w:r>
        <w:rPr>
          <w:rFonts w:ascii="Libre Franklin" w:eastAsia="Libre Franklin" w:hAnsi="Libre Franklin" w:cs="Libre Franklin"/>
          <w:color w:val="002060"/>
          <w:sz w:val="24"/>
          <w:szCs w:val="24"/>
        </w:rPr>
        <w:t>diagnosing, monitoring, and treating neurological disorders. Diagnostic Laboratories also contribute significantly, performing advanced testing on patient samples to identify biomarkers associated with neurological conditions. These laboratories support he</w:t>
      </w:r>
      <w:r>
        <w:rPr>
          <w:rFonts w:ascii="Libre Franklin" w:eastAsia="Libre Franklin" w:hAnsi="Libre Franklin" w:cs="Libre Franklin"/>
          <w:color w:val="002060"/>
          <w:sz w:val="24"/>
          <w:szCs w:val="24"/>
        </w:rPr>
        <w:t>althcare providers with reliable results that aid in the timely detection and monitoring of disease progression. Research and Academic Institutions play a crucial role in the discovery and validation of new biomarkers, conducting studies that push the boun</w:t>
      </w:r>
      <w:r>
        <w:rPr>
          <w:rFonts w:ascii="Libre Franklin" w:eastAsia="Libre Franklin" w:hAnsi="Libre Franklin" w:cs="Libre Franklin"/>
          <w:color w:val="002060"/>
          <w:sz w:val="24"/>
          <w:szCs w:val="24"/>
        </w:rPr>
        <w:t>daries of neurological disease understanding and treatment. Together, these end-users are pivotal in advancing the U.S. Neurological Biomarkers Market, with hospitals and clinics holding the largest share due to their central role in patient care.</w:t>
      </w:r>
    </w:p>
    <w:p w:rsidR="001961A0" w:rsidRDefault="001961A0">
      <w:pPr>
        <w:spacing w:line="360" w:lineRule="auto"/>
        <w:jc w:val="both"/>
        <w:rPr>
          <w:rFonts w:ascii="Libre Franklin" w:eastAsia="Libre Franklin" w:hAnsi="Libre Franklin" w:cs="Libre Franklin"/>
          <w:b/>
          <w:color w:val="002060"/>
          <w:sz w:val="24"/>
          <w:szCs w:val="24"/>
        </w:rPr>
      </w:pP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Pla</w:t>
      </w:r>
      <w:r>
        <w:rPr>
          <w:rFonts w:ascii="Libre Franklin" w:eastAsia="Libre Franklin" w:hAnsi="Libre Franklin" w:cs="Libre Franklin"/>
          <w:b/>
          <w:color w:val="002060"/>
          <w:sz w:val="24"/>
          <w:szCs w:val="24"/>
        </w:rPr>
        <w:t xml:space="preserve">yers </w:t>
      </w:r>
    </w:p>
    <w:p w:rsidR="001961A0" w:rsidRDefault="00352544">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Neurological Biomarkers Market</w:t>
      </w:r>
      <w:r>
        <w:rPr>
          <w:rFonts w:ascii="Libre Franklin" w:eastAsia="Libre Franklin" w:hAnsi="Libre Franklin" w:cs="Libre Franklin"/>
          <w:color w:val="1F3864"/>
          <w:sz w:val="24"/>
          <w:szCs w:val="24"/>
        </w:rPr>
        <w:t>" study report will provide valuable insight emphasizing the U.S. market. The major players in the market Biogen Inc., Amgen Inc., F. Hoffmann-La Roche AG, Eli Lilly and Co., Medtronic PLC, Cerebra Health, Ques</w:t>
      </w:r>
      <w:r>
        <w:rPr>
          <w:rFonts w:ascii="Libre Franklin" w:eastAsia="Libre Franklin" w:hAnsi="Libre Franklin" w:cs="Libre Franklin"/>
          <w:color w:val="1F3864"/>
          <w:sz w:val="24"/>
          <w:szCs w:val="24"/>
        </w:rPr>
        <w:t xml:space="preserve">t Diagnostics Incorporated, </w:t>
      </w:r>
      <w:proofErr w:type="spellStart"/>
      <w:r>
        <w:rPr>
          <w:rFonts w:ascii="Libre Franklin" w:eastAsia="Libre Franklin" w:hAnsi="Libre Franklin" w:cs="Libre Franklin"/>
          <w:color w:val="1F3864"/>
          <w:sz w:val="24"/>
          <w:szCs w:val="24"/>
        </w:rPr>
        <w:t>Neurocrine</w:t>
      </w:r>
      <w:proofErr w:type="spellEnd"/>
      <w:r>
        <w:rPr>
          <w:rFonts w:ascii="Libre Franklin" w:eastAsia="Libre Franklin" w:hAnsi="Libre Franklin" w:cs="Libre Franklin"/>
          <w:color w:val="1F3864"/>
          <w:sz w:val="24"/>
          <w:szCs w:val="24"/>
        </w:rPr>
        <w:t xml:space="preserve"> Biosciences, Inc., </w:t>
      </w:r>
      <w:proofErr w:type="spellStart"/>
      <w:r>
        <w:rPr>
          <w:rFonts w:ascii="Libre Franklin" w:eastAsia="Libre Franklin" w:hAnsi="Libre Franklin" w:cs="Libre Franklin"/>
          <w:color w:val="1F3864"/>
          <w:sz w:val="24"/>
          <w:szCs w:val="24"/>
        </w:rPr>
        <w:t>Neurolixis</w:t>
      </w:r>
      <w:proofErr w:type="spellEnd"/>
      <w:r>
        <w:rPr>
          <w:rFonts w:ascii="Libre Franklin" w:eastAsia="Libre Franklin" w:hAnsi="Libre Franklin" w:cs="Libre Franklin"/>
          <w:color w:val="1F3864"/>
          <w:sz w:val="24"/>
          <w:szCs w:val="24"/>
        </w:rPr>
        <w:t xml:space="preserve">, Merck &amp; Co., </w:t>
      </w:r>
      <w:proofErr w:type="spellStart"/>
      <w:r>
        <w:rPr>
          <w:rFonts w:ascii="Libre Franklin" w:eastAsia="Libre Franklin" w:hAnsi="Libre Franklin" w:cs="Libre Franklin"/>
          <w:color w:val="1F3864"/>
          <w:sz w:val="24"/>
          <w:szCs w:val="24"/>
        </w:rPr>
        <w:t>Neurotrack</w:t>
      </w:r>
      <w:proofErr w:type="spellEnd"/>
      <w:r>
        <w:rPr>
          <w:rFonts w:ascii="Libre Franklin" w:eastAsia="Libre Franklin" w:hAnsi="Libre Franklin" w:cs="Libre Franklin"/>
          <w:color w:val="1F3864"/>
          <w:sz w:val="24"/>
          <w:szCs w:val="24"/>
        </w:rPr>
        <w:t xml:space="preserve"> Technologies, Inc., Linus Health, </w:t>
      </w:r>
      <w:proofErr w:type="spellStart"/>
      <w:r>
        <w:rPr>
          <w:rFonts w:ascii="Libre Franklin" w:eastAsia="Libre Franklin" w:hAnsi="Libre Franklin" w:cs="Libre Franklin"/>
          <w:color w:val="1F3864"/>
          <w:sz w:val="24"/>
          <w:szCs w:val="24"/>
        </w:rPr>
        <w:t>Altoida</w:t>
      </w:r>
      <w:proofErr w:type="spellEnd"/>
      <w:r>
        <w:rPr>
          <w:rFonts w:ascii="Libre Franklin" w:eastAsia="Libre Franklin" w:hAnsi="Libre Franklin" w:cs="Libre Franklin"/>
          <w:color w:val="1F3864"/>
          <w:sz w:val="24"/>
          <w:szCs w:val="24"/>
        </w:rPr>
        <w:t xml:space="preserve"> Inc., Illumina, Inc., Siemens </w:t>
      </w:r>
      <w:proofErr w:type="spellStart"/>
      <w:r>
        <w:rPr>
          <w:rFonts w:ascii="Libre Franklin" w:eastAsia="Libre Franklin" w:hAnsi="Libre Franklin" w:cs="Libre Franklin"/>
          <w:color w:val="1F3864"/>
          <w:sz w:val="24"/>
          <w:szCs w:val="24"/>
        </w:rPr>
        <w:t>Healthineers</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Thermo</w:t>
      </w:r>
      <w:proofErr w:type="spellEnd"/>
      <w:r>
        <w:rPr>
          <w:rFonts w:ascii="Libre Franklin" w:eastAsia="Libre Franklin" w:hAnsi="Libre Franklin" w:cs="Libre Franklin"/>
          <w:color w:val="1F3864"/>
          <w:sz w:val="24"/>
          <w:szCs w:val="24"/>
        </w:rPr>
        <w:t xml:space="preserve"> Fisher Scientific Inc., GE Healthcare, GlaxoSmithKline, PerkinElmer, </w:t>
      </w:r>
      <w:r>
        <w:rPr>
          <w:rFonts w:ascii="Libre Franklin" w:eastAsia="Libre Franklin" w:hAnsi="Libre Franklin" w:cs="Libre Franklin"/>
          <w:color w:val="1F3864"/>
          <w:sz w:val="24"/>
          <w:szCs w:val="24"/>
        </w:rPr>
        <w:t>Inc., Abbott Laboratories among others. Our market analysis also entails a section solely dedicated to such major players wherein our analysts provide an insight into the financial statements of all the major players, along with product benchmarking and SW</w:t>
      </w:r>
      <w:r>
        <w:rPr>
          <w:rFonts w:ascii="Libre Franklin" w:eastAsia="Libre Franklin" w:hAnsi="Libre Franklin" w:cs="Libre Franklin"/>
          <w:color w:val="1F3864"/>
          <w:sz w:val="24"/>
          <w:szCs w:val="24"/>
        </w:rPr>
        <w:t>OT analysis.</w:t>
      </w:r>
      <w:r>
        <w:rPr>
          <w:rFonts w:ascii="Libre Franklin" w:eastAsia="Libre Franklin" w:hAnsi="Libre Franklin" w:cs="Libre Franklin"/>
        </w:rPr>
        <w:t xml:space="preserve"> </w:t>
      </w:r>
    </w:p>
    <w:p w:rsidR="001961A0" w:rsidRDefault="00352544">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1961A0" w:rsidRDefault="00352544">
      <w:pPr>
        <w:numPr>
          <w:ilvl w:val="0"/>
          <w:numId w:val="7"/>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Roche’s </w:t>
      </w:r>
      <w:proofErr w:type="spellStart"/>
      <w:r>
        <w:rPr>
          <w:rFonts w:ascii="Libre Franklin" w:eastAsia="Libre Franklin" w:hAnsi="Libre Franklin" w:cs="Libre Franklin"/>
          <w:color w:val="1F3864"/>
          <w:sz w:val="24"/>
          <w:szCs w:val="24"/>
        </w:rPr>
        <w:t>Elecsys</w:t>
      </w:r>
      <w:proofErr w:type="spellEnd"/>
      <w:r>
        <w:rPr>
          <w:rFonts w:ascii="Libre Franklin" w:eastAsia="Libre Franklin" w:hAnsi="Libre Franklin" w:cs="Libre Franklin"/>
          <w:color w:val="1F3864"/>
          <w:sz w:val="24"/>
          <w:szCs w:val="24"/>
        </w:rPr>
        <w:t xml:space="preserve"> pTau217 plasma biomarker </w:t>
      </w:r>
      <w:r>
        <w:rPr>
          <w:rFonts w:ascii="Libre Franklin" w:eastAsia="Libre Franklin" w:hAnsi="Libre Franklin" w:cs="Libre Franklin"/>
          <w:color w:val="1F3864"/>
          <w:sz w:val="24"/>
          <w:szCs w:val="24"/>
        </w:rPr>
        <w:t>test received</w:t>
      </w:r>
      <w:r>
        <w:rPr>
          <w:rFonts w:ascii="Libre Franklin" w:eastAsia="Libre Franklin" w:hAnsi="Libre Franklin" w:cs="Libre Franklin"/>
          <w:color w:val="1F3864"/>
          <w:sz w:val="24"/>
          <w:szCs w:val="24"/>
        </w:rPr>
        <w:t xml:space="preserve"> Breakthrough Device Designation from the FDA, a major step forward in </w:t>
      </w:r>
      <w:r>
        <w:rPr>
          <w:rFonts w:ascii="Libre Franklin" w:eastAsia="Libre Franklin" w:hAnsi="Libre Franklin" w:cs="Libre Franklin"/>
          <w:color w:val="1F3864"/>
          <w:sz w:val="24"/>
          <w:szCs w:val="24"/>
        </w:rPr>
        <w:lastRenderedPageBreak/>
        <w:t>early Alzheimer’s diagnosis. This designation speeds up the test’s development and review, showing its potential to transform Alzheimer's diagnosis. It offers a non-invasive, easy-to-us</w:t>
      </w:r>
      <w:r>
        <w:rPr>
          <w:rFonts w:ascii="Libre Franklin" w:eastAsia="Libre Franklin" w:hAnsi="Libre Franklin" w:cs="Libre Franklin"/>
          <w:color w:val="1F3864"/>
          <w:sz w:val="24"/>
          <w:szCs w:val="24"/>
        </w:rPr>
        <w:t>e test for early detection in clinical settings, making it a promising tool for better diagnosis and treatment.</w:t>
      </w:r>
    </w:p>
    <w:p w:rsidR="001961A0" w:rsidRDefault="00352544">
      <w:pPr>
        <w:numPr>
          <w:ilvl w:val="0"/>
          <w:numId w:val="7"/>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CansenS</w:t>
      </w:r>
      <w:proofErr w:type="spellEnd"/>
      <w:r>
        <w:rPr>
          <w:rFonts w:ascii="Libre Franklin" w:eastAsia="Libre Franklin" w:hAnsi="Libre Franklin" w:cs="Libre Franklin"/>
          <w:color w:val="1F3864"/>
          <w:sz w:val="24"/>
          <w:szCs w:val="24"/>
        </w:rPr>
        <w:t>, a finger-prick</w:t>
      </w:r>
      <w:r>
        <w:rPr>
          <w:rFonts w:ascii="Libre Franklin" w:eastAsia="Libre Franklin" w:hAnsi="Libre Franklin" w:cs="Libre Franklin"/>
          <w:color w:val="1F3864"/>
          <w:sz w:val="24"/>
          <w:szCs w:val="24"/>
        </w:rPr>
        <w:t xml:space="preserve"> test for quick Alzheimer’s screening with over 90% diagnostic accuracy was developed. </w:t>
      </w:r>
    </w:p>
    <w:p w:rsidR="001961A0" w:rsidRDefault="00352544">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margin">
              <wp:align>center</wp:align>
            </wp:positionH>
            <wp:positionV relativeFrom="page">
              <wp:posOffset>-1838959</wp:posOffset>
            </wp:positionV>
            <wp:extent cx="10220215" cy="14454202"/>
            <wp:effectExtent l="0" t="0" r="0" b="0"/>
            <wp:wrapNone/>
            <wp:docPr id="212650346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1961A0" w:rsidRDefault="00352544">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Neurological Biomarkers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1961A0" w:rsidRDefault="00352544">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1961A0" w:rsidRDefault="00352544">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w:t>
      </w:r>
      <w:r>
        <w:rPr>
          <w:rFonts w:ascii="Libre Franklin" w:eastAsia="Libre Franklin" w:hAnsi="Libre Franklin" w:cs="Libre Franklin"/>
          <w:color w:val="1F3864"/>
          <w:sz w:val="24"/>
          <w:szCs w:val="24"/>
        </w:rPr>
        <w:t xml:space="preserve">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behavior</w:t>
      </w:r>
      <w:proofErr w:type="spellEnd"/>
      <w:r>
        <w:rPr>
          <w:rFonts w:ascii="Libre Franklin" w:eastAsia="Libre Franklin" w:hAnsi="Libre Franklin" w:cs="Libre Franklin"/>
          <w:color w:val="1F3864"/>
          <w:sz w:val="24"/>
          <w:szCs w:val="24"/>
        </w:rPr>
        <w:t xml:space="preserve"> of competitors and a player's strategic positioning in the respective industry. Porter's five forces model can </w:t>
      </w:r>
      <w:r>
        <w:rPr>
          <w:rFonts w:ascii="Libre Franklin" w:eastAsia="Libre Franklin" w:hAnsi="Libre Franklin" w:cs="Libre Franklin"/>
          <w:color w:val="1F3864"/>
          <w:sz w:val="24"/>
          <w:szCs w:val="24"/>
        </w:rPr>
        <w:t xml:space="preserve">be used to assess the competitive landscape </w:t>
      </w:r>
      <w:r>
        <w:rPr>
          <w:rFonts w:ascii="Libre Franklin" w:eastAsia="Libre Franklin" w:hAnsi="Libre Franklin" w:cs="Libre Franklin"/>
          <w:color w:val="002060"/>
          <w:sz w:val="24"/>
          <w:szCs w:val="24"/>
        </w:rPr>
        <w:t>U.S. Neurological Biomarkers Market,</w:t>
      </w:r>
      <w:r>
        <w:rPr>
          <w:rFonts w:ascii="Libre Franklin" w:eastAsia="Libre Franklin" w:hAnsi="Libre Franklin" w:cs="Libre Franklin"/>
          <w:color w:val="1F3864"/>
          <w:sz w:val="24"/>
          <w:szCs w:val="24"/>
        </w:rPr>
        <w:t xml:space="preserve"> gauge the attractiveness of a particular sector, and assess investment possibilities.</w:t>
      </w: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1961A0">
      <w:pPr>
        <w:spacing w:before="240" w:line="360" w:lineRule="auto"/>
        <w:jc w:val="both"/>
        <w:rPr>
          <w:rFonts w:ascii="Times New Roman" w:eastAsia="Times New Roman" w:hAnsi="Times New Roman" w:cs="Times New Roman"/>
          <w:color w:val="1F3864"/>
          <w:sz w:val="40"/>
          <w:szCs w:val="40"/>
        </w:rPr>
      </w:pPr>
    </w:p>
    <w:p w:rsidR="001961A0" w:rsidRDefault="00352544">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4384" behindDoc="1" locked="0" layoutInCell="1" hidden="0" allowOverlap="1">
            <wp:simplePos x="0" y="0"/>
            <wp:positionH relativeFrom="margin">
              <wp:align>center</wp:align>
            </wp:positionH>
            <wp:positionV relativeFrom="page">
              <wp:posOffset>-1373504</wp:posOffset>
            </wp:positionV>
            <wp:extent cx="10220215" cy="14454202"/>
            <wp:effectExtent l="0" t="0" r="0" b="0"/>
            <wp:wrapNone/>
            <wp:docPr id="212650346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Times New Roman" w:eastAsia="Times New Roman" w:hAnsi="Times New Roman" w:cs="Times New Roman"/>
          <w:color w:val="1F3864"/>
          <w:sz w:val="40"/>
          <w:szCs w:val="40"/>
        </w:rPr>
        <w:t>TABLE OF CONTENT</w:t>
      </w:r>
    </w:p>
    <w:p w:rsidR="001961A0" w:rsidRDefault="00352544">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INTRODUCTION OF</w:t>
      </w:r>
      <w:r>
        <w:rPr>
          <w:color w:val="000000"/>
        </w:rPr>
        <w:t xml:space="preserve"> </w:t>
      </w:r>
      <w:r>
        <w:rPr>
          <w:rFonts w:ascii="Libre Franklin" w:eastAsia="Libre Franklin" w:hAnsi="Libre Franklin" w:cs="Libre Franklin"/>
          <w:b/>
          <w:color w:val="1F3864"/>
          <w:sz w:val="24"/>
          <w:szCs w:val="24"/>
        </w:rPr>
        <w:t>U.S. NEUROLOGICAL BIOMARKERS MARKET</w:t>
      </w:r>
    </w:p>
    <w:p w:rsidR="001961A0" w:rsidRDefault="001961A0">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1961A0" w:rsidRDefault="00352544">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1961A0" w:rsidRDefault="00352544">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1961A0" w:rsidRDefault="00352544">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1961A0" w:rsidRDefault="00352544">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1961A0" w:rsidRDefault="00352544">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1961A0" w:rsidRDefault="00352544">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1961A0" w:rsidRDefault="00352544">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1961A0" w:rsidRDefault="00352544">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1961A0" w:rsidRDefault="00352544">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1961A0" w:rsidRDefault="00352544">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U.S. NEUROLOGICAL BIOMARKERS MARKET</w:t>
      </w:r>
      <w:r>
        <w:rPr>
          <w:rFonts w:ascii="Libre Franklin" w:eastAsia="Libre Franklin" w:hAnsi="Libre Franklin" w:cs="Libre Franklin"/>
          <w:b/>
          <w:color w:val="002060"/>
          <w:sz w:val="24"/>
          <w:szCs w:val="24"/>
        </w:rPr>
        <w:t xml:space="preserve"> OUTLOOK</w:t>
      </w:r>
    </w:p>
    <w:p w:rsidR="001961A0" w:rsidRDefault="001961A0">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1961A0" w:rsidRDefault="00352544">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1961A0" w:rsidRDefault="00352544">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1961A0" w:rsidRDefault="00352544">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1961A0" w:rsidRDefault="00352544">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1961A0" w:rsidRDefault="00352544">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Opportunities</w:t>
      </w:r>
    </w:p>
    <w:p w:rsidR="001961A0" w:rsidRDefault="00352544">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1961A0" w:rsidRDefault="00352544">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1961A0" w:rsidRDefault="00352544">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1961A0" w:rsidRDefault="001961A0">
      <w:pPr>
        <w:spacing w:line="360" w:lineRule="auto"/>
        <w:rPr>
          <w:rFonts w:ascii="Libre Franklin" w:eastAsia="Libre Franklin" w:hAnsi="Libre Franklin" w:cs="Libre Franklin"/>
          <w:b/>
          <w:color w:val="002060"/>
          <w:sz w:val="24"/>
          <w:szCs w:val="24"/>
        </w:rPr>
      </w:pPr>
    </w:p>
    <w:p w:rsidR="001961A0" w:rsidRDefault="00352544">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1F3864"/>
          <w:sz w:val="24"/>
          <w:szCs w:val="24"/>
        </w:rPr>
        <w:t>U.S. NEUROLOGICAL BIOMARKERS MARKET, BY TYPE</w:t>
      </w:r>
    </w:p>
    <w:p w:rsidR="001961A0" w:rsidRDefault="00352544">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5.1 Overview </w:t>
      </w:r>
    </w:p>
    <w:p w:rsidR="001961A0" w:rsidRDefault="00352544">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5408" behindDoc="1" locked="0" layoutInCell="1" hidden="0" allowOverlap="1">
            <wp:simplePos x="0" y="0"/>
            <wp:positionH relativeFrom="margin">
              <wp:align>center</wp:align>
            </wp:positionH>
            <wp:positionV relativeFrom="page">
              <wp:posOffset>-1381759</wp:posOffset>
            </wp:positionV>
            <wp:extent cx="10220215" cy="14454202"/>
            <wp:effectExtent l="0" t="0" r="0" b="0"/>
            <wp:wrapNone/>
            <wp:docPr id="212650345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5.2</w:t>
      </w:r>
      <w:r>
        <w:rPr>
          <w:color w:val="000000"/>
        </w:rPr>
        <w:t xml:space="preserve"> </w:t>
      </w:r>
      <w:r>
        <w:rPr>
          <w:rFonts w:ascii="Libre Franklin" w:eastAsia="Libre Franklin" w:hAnsi="Libre Franklin" w:cs="Libre Franklin"/>
          <w:color w:val="002060"/>
          <w:sz w:val="24"/>
          <w:szCs w:val="24"/>
        </w:rPr>
        <w:t>Proteomics-based Biomarkers</w:t>
      </w:r>
    </w:p>
    <w:p w:rsidR="001961A0" w:rsidRDefault="00352544">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w:t>
      </w:r>
      <w:r>
        <w:rPr>
          <w:color w:val="000000"/>
        </w:rPr>
        <w:t xml:space="preserve"> </w:t>
      </w:r>
      <w:r>
        <w:rPr>
          <w:rFonts w:ascii="Libre Franklin" w:eastAsia="Libre Franklin" w:hAnsi="Libre Franklin" w:cs="Libre Franklin"/>
          <w:color w:val="002060"/>
          <w:sz w:val="24"/>
          <w:szCs w:val="24"/>
        </w:rPr>
        <w:t>Genomics-based Biomarkers</w:t>
      </w:r>
    </w:p>
    <w:p w:rsidR="001961A0" w:rsidRDefault="00352544">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Metabolomics-based Biomarkers</w:t>
      </w:r>
    </w:p>
    <w:p w:rsidR="001961A0" w:rsidRDefault="00352544">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5.5 Electrophysiology-based Biomarkers</w:t>
      </w:r>
    </w:p>
    <w:p w:rsidR="001961A0" w:rsidRDefault="00352544">
      <w:pPr>
        <w:pBdr>
          <w:top w:val="nil"/>
          <w:left w:val="nil"/>
          <w:bottom w:val="nil"/>
          <w:right w:val="nil"/>
          <w:between w:val="nil"/>
        </w:pBdr>
        <w:spacing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5.6 Imaging-based Biomarkers</w:t>
      </w:r>
    </w:p>
    <w:p w:rsidR="001961A0" w:rsidRDefault="00352544">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40"/>
          <w:szCs w:val="40"/>
        </w:rPr>
        <w:t>6</w:t>
      </w:r>
      <w:r>
        <w:rPr>
          <w:rFonts w:ascii="Libre Franklin" w:eastAsia="Libre Franklin" w:hAnsi="Libre Franklin" w:cs="Libre Franklin"/>
          <w:b/>
          <w:color w:val="1F3864"/>
          <w:sz w:val="24"/>
          <w:szCs w:val="24"/>
        </w:rPr>
        <w:t xml:space="preserve"> U.S. NEUROLOGICAL BIOMARKERS MARKET, BY APPLICATION</w:t>
      </w:r>
    </w:p>
    <w:p w:rsidR="001961A0" w:rsidRDefault="00352544">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Alzheimer’s Disease</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Parkinson’s Disease</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Epilepsy</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6.5 Multiple Sclerosis</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6.6 Others</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b/>
          <w:color w:val="002060"/>
          <w:sz w:val="40"/>
          <w:szCs w:val="40"/>
        </w:rPr>
        <w:lastRenderedPageBreak/>
        <w:t>7</w:t>
      </w:r>
      <w:r>
        <w:t xml:space="preserve"> </w:t>
      </w:r>
      <w:r>
        <w:rPr>
          <w:rFonts w:ascii="Libre Franklin" w:eastAsia="Libre Franklin" w:hAnsi="Libre Franklin" w:cs="Libre Franklin"/>
          <w:b/>
          <w:color w:val="1F3864"/>
          <w:sz w:val="24"/>
          <w:szCs w:val="24"/>
        </w:rPr>
        <w:t>U.S. NEUROLOGICAL BIOMARKERS MARKET</w:t>
      </w:r>
      <w:r>
        <w:rPr>
          <w:rFonts w:ascii="Libre Franklin" w:eastAsia="Libre Franklin" w:hAnsi="Libre Franklin" w:cs="Libre Franklin"/>
          <w:b/>
          <w:color w:val="002060"/>
          <w:sz w:val="24"/>
          <w:szCs w:val="24"/>
        </w:rPr>
        <w:t>, BY TECHNOLOGY</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Imaging Techniques</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 Biochemical Assays</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 Genetic Testing</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7.5 EEG</w:t>
      </w:r>
    </w:p>
    <w:p w:rsidR="001961A0" w:rsidRDefault="00352544">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7.6 Mass Spectrometry and Chromatography</w:t>
      </w:r>
    </w:p>
    <w:p w:rsidR="001961A0" w:rsidRDefault="00352544">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margin">
              <wp:align>center</wp:align>
            </wp:positionH>
            <wp:positionV relativeFrom="page">
              <wp:posOffset>-912493</wp:posOffset>
            </wp:positionV>
            <wp:extent cx="10220215" cy="14454202"/>
            <wp:effectExtent l="0" t="0" r="0" b="0"/>
            <wp:wrapNone/>
            <wp:docPr id="212650345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24"/>
          <w:szCs w:val="24"/>
        </w:rPr>
        <w:t>U.S. NEUROLOGICAL BIOMARKERS MARKET, BY END-USER</w:t>
      </w:r>
    </w:p>
    <w:p w:rsidR="001961A0" w:rsidRDefault="00352544">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Overview</w:t>
      </w:r>
    </w:p>
    <w:p w:rsidR="001961A0" w:rsidRDefault="00352544">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Hospitals and Clinics</w:t>
      </w:r>
    </w:p>
    <w:p w:rsidR="001961A0" w:rsidRDefault="00352544">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Diagnostic Laboratories</w:t>
      </w:r>
    </w:p>
    <w:p w:rsidR="001961A0" w:rsidRDefault="00352544">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Research and Academic Institutions</w:t>
      </w:r>
    </w:p>
    <w:p w:rsidR="001961A0" w:rsidRDefault="00352544">
      <w:pPr>
        <w:numPr>
          <w:ilvl w:val="0"/>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NEUROLOGICAL BIOMARKERS MARKET</w:t>
      </w:r>
      <w:r>
        <w:rPr>
          <w:rFonts w:ascii="Libre Franklin" w:eastAsia="Libre Franklin" w:hAnsi="Libre Franklin" w:cs="Libre Franklin"/>
          <w:b/>
          <w:color w:val="002060"/>
          <w:sz w:val="24"/>
          <w:szCs w:val="24"/>
        </w:rPr>
        <w:t xml:space="preserve"> COMPETITIVE LANDSCAPE</w:t>
      </w:r>
    </w:p>
    <w:p w:rsidR="001961A0" w:rsidRDefault="00352544">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1961A0" w:rsidRDefault="00352544">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1961A0" w:rsidRDefault="00352544">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1961A0" w:rsidRDefault="00352544">
      <w:pPr>
        <w:numPr>
          <w:ilvl w:val="0"/>
          <w:numId w:val="2"/>
        </w:numPr>
        <w:pBdr>
          <w:top w:val="nil"/>
          <w:left w:val="nil"/>
          <w:bottom w:val="nil"/>
          <w:right w:val="nil"/>
          <w:between w:val="nil"/>
        </w:pBdr>
        <w:tabs>
          <w:tab w:val="left" w:pos="1134"/>
        </w:tabs>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1961A0" w:rsidRDefault="00352544">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10.1 </w:t>
      </w:r>
      <w:r>
        <w:rPr>
          <w:rFonts w:ascii="Libre Franklin" w:eastAsia="Libre Franklin" w:hAnsi="Libre Franklin" w:cs="Libre Franklin"/>
          <w:b/>
          <w:color w:val="1F3864"/>
          <w:sz w:val="24"/>
          <w:szCs w:val="24"/>
        </w:rPr>
        <w:t>Biogen Inc.</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Overview </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roduct</w:t>
      </w:r>
      <w:proofErr w:type="spellEnd"/>
      <w:r>
        <w:rPr>
          <w:rFonts w:ascii="Libre Franklin" w:eastAsia="Libre Franklin" w:hAnsi="Libre Franklin" w:cs="Libre Franklin"/>
          <w:color w:val="002060"/>
          <w:sz w:val="24"/>
          <w:szCs w:val="24"/>
        </w:rPr>
        <w:t xml:space="preserve"> Outlook</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r>
        <w:rPr>
          <w:rFonts w:ascii="Libre Franklin" w:eastAsia="Libre Franklin" w:hAnsi="Libre Franklin" w:cs="Libre Franklin"/>
          <w:b/>
          <w:color w:val="1F3864"/>
          <w:sz w:val="24"/>
          <w:szCs w:val="24"/>
        </w:rPr>
        <w:t>Amgen Inc.</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F. Hoffmann-La Roche AG</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-1569719</wp:posOffset>
            </wp:positionH>
            <wp:positionV relativeFrom="page">
              <wp:posOffset>-1553844</wp:posOffset>
            </wp:positionV>
            <wp:extent cx="10220215" cy="14454202"/>
            <wp:effectExtent l="0" t="0" r="0" b="0"/>
            <wp:wrapNone/>
            <wp:docPr id="212650346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Eli Lilly and Co.</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Medtronic PLC</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lastRenderedPageBreak/>
        <w:t>Cerebra Health</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Quest Diagnostics Incorporated</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t>Neurocrine</w:t>
      </w:r>
      <w:proofErr w:type="spellEnd"/>
      <w:r>
        <w:rPr>
          <w:rFonts w:ascii="Libre Franklin" w:eastAsia="Libre Franklin" w:hAnsi="Libre Franklin" w:cs="Libre Franklin"/>
          <w:b/>
          <w:color w:val="1F3864"/>
          <w:sz w:val="24"/>
          <w:szCs w:val="24"/>
        </w:rPr>
        <w:t xml:space="preserve"> Biosciences, Inc.</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8480" behindDoc="1" locked="0" layoutInCell="1" hidden="0" allowOverlap="1">
            <wp:simplePos x="0" y="0"/>
            <wp:positionH relativeFrom="margin">
              <wp:align>center</wp:align>
            </wp:positionH>
            <wp:positionV relativeFrom="page">
              <wp:posOffset>-1742438</wp:posOffset>
            </wp:positionV>
            <wp:extent cx="10220215" cy="14454202"/>
            <wp:effectExtent l="0" t="0" r="0" b="0"/>
            <wp:wrapNone/>
            <wp:docPr id="212650346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1F3864"/>
          <w:sz w:val="24"/>
          <w:szCs w:val="24"/>
        </w:rPr>
        <w:t>Neurolixis</w:t>
      </w:r>
      <w:proofErr w:type="spellEnd"/>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418"/>
          <w:tab w:val="left" w:pos="1560"/>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Merck &amp; Co.</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Key developments</w:t>
      </w:r>
    </w:p>
    <w:p w:rsidR="001961A0" w:rsidRDefault="00352544">
      <w:pPr>
        <w:numPr>
          <w:ilvl w:val="1"/>
          <w:numId w:val="2"/>
        </w:numPr>
        <w:pBdr>
          <w:top w:val="nil"/>
          <w:left w:val="nil"/>
          <w:bottom w:val="nil"/>
          <w:right w:val="nil"/>
          <w:between w:val="nil"/>
        </w:pBdr>
        <w:tabs>
          <w:tab w:val="left" w:pos="1418"/>
          <w:tab w:val="left" w:pos="1560"/>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Neurotrack</w:t>
      </w:r>
      <w:proofErr w:type="spellEnd"/>
      <w:r>
        <w:rPr>
          <w:rFonts w:ascii="Libre Franklin" w:eastAsia="Libre Franklin" w:hAnsi="Libre Franklin" w:cs="Libre Franklin"/>
          <w:b/>
          <w:color w:val="002060"/>
          <w:sz w:val="24"/>
          <w:szCs w:val="24"/>
        </w:rPr>
        <w:t xml:space="preserve"> Technologies, Inc.</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418"/>
          <w:tab w:val="left" w:pos="1560"/>
          <w:tab w:val="left" w:pos="1701"/>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Linus Health</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560"/>
        </w:tabs>
        <w:spacing w:after="0" w:line="480" w:lineRule="auto"/>
        <w:jc w:val="both"/>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Altoida</w:t>
      </w:r>
      <w:proofErr w:type="spellEnd"/>
      <w:r>
        <w:rPr>
          <w:rFonts w:ascii="Libre Franklin" w:eastAsia="Libre Franklin" w:hAnsi="Libre Franklin" w:cs="Libre Franklin"/>
          <w:b/>
          <w:color w:val="002060"/>
          <w:sz w:val="24"/>
          <w:szCs w:val="24"/>
        </w:rPr>
        <w:t xml:space="preserve"> Inc.</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418"/>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9504" behindDoc="1" locked="0" layoutInCell="1" hidden="0" allowOverlap="1">
            <wp:simplePos x="0" y="0"/>
            <wp:positionH relativeFrom="page">
              <wp:posOffset>-2148839</wp:posOffset>
            </wp:positionH>
            <wp:positionV relativeFrom="page">
              <wp:posOffset>-1381759</wp:posOffset>
            </wp:positionV>
            <wp:extent cx="10220215" cy="14454202"/>
            <wp:effectExtent l="0" t="0" r="0" b="0"/>
            <wp:wrapNone/>
            <wp:docPr id="212650346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Illumina, Inc.</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Siemens </w:t>
      </w:r>
      <w:proofErr w:type="spellStart"/>
      <w:r>
        <w:rPr>
          <w:rFonts w:ascii="Libre Franklin" w:eastAsia="Libre Franklin" w:hAnsi="Libre Franklin" w:cs="Libre Franklin"/>
          <w:b/>
          <w:color w:val="002060"/>
          <w:sz w:val="24"/>
          <w:szCs w:val="24"/>
        </w:rPr>
        <w:t>Healthineers</w:t>
      </w:r>
      <w:proofErr w:type="spellEnd"/>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560"/>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Thermo</w:t>
      </w:r>
      <w:proofErr w:type="spellEnd"/>
      <w:r>
        <w:rPr>
          <w:rFonts w:ascii="Libre Franklin" w:eastAsia="Libre Franklin" w:hAnsi="Libre Franklin" w:cs="Libre Franklin"/>
          <w:b/>
          <w:color w:val="002060"/>
          <w:sz w:val="24"/>
          <w:szCs w:val="24"/>
        </w:rPr>
        <w:t xml:space="preserve"> Fisher Scientific Inc.</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560"/>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GE Healthcare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GlaxoSmithKline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560"/>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PerkinElmer, Inc.</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70528" behindDoc="1" locked="0" layoutInCell="1" hidden="0" allowOverlap="1">
            <wp:simplePos x="0" y="0"/>
            <wp:positionH relativeFrom="page">
              <wp:posOffset>-838199</wp:posOffset>
            </wp:positionH>
            <wp:positionV relativeFrom="page">
              <wp:posOffset>-1061719</wp:posOffset>
            </wp:positionV>
            <wp:extent cx="10220215" cy="14454202"/>
            <wp:effectExtent l="0" t="0" r="0" b="0"/>
            <wp:wrapNone/>
            <wp:docPr id="212650346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1"/>
          <w:numId w:val="2"/>
        </w:numPr>
        <w:pBdr>
          <w:top w:val="nil"/>
          <w:left w:val="nil"/>
          <w:bottom w:val="nil"/>
          <w:right w:val="nil"/>
          <w:between w:val="nil"/>
        </w:pBdr>
        <w:tabs>
          <w:tab w:val="left" w:pos="1701"/>
          <w:tab w:val="left" w:pos="2552"/>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Abbott Laboratories</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Financial Performance</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1961A0" w:rsidRDefault="00352544">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1961A0" w:rsidRDefault="00352544">
      <w:pPr>
        <w:numPr>
          <w:ilvl w:val="0"/>
          <w:numId w:val="2"/>
        </w:numPr>
        <w:pBdr>
          <w:top w:val="nil"/>
          <w:left w:val="nil"/>
          <w:bottom w:val="nil"/>
          <w:right w:val="nil"/>
          <w:between w:val="nil"/>
        </w:pBdr>
        <w:tabs>
          <w:tab w:val="left" w:pos="1134"/>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1961A0" w:rsidRDefault="00352544">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Partnerships and Collaborations</w:t>
      </w:r>
    </w:p>
    <w:p w:rsidR="001961A0" w:rsidRDefault="00352544">
      <w:pPr>
        <w:numPr>
          <w:ilvl w:val="0"/>
          <w:numId w:val="2"/>
        </w:numPr>
        <w:pBdr>
          <w:top w:val="nil"/>
          <w:left w:val="nil"/>
          <w:bottom w:val="nil"/>
          <w:right w:val="nil"/>
          <w:between w:val="nil"/>
        </w:pBdr>
        <w:tabs>
          <w:tab w:val="left" w:pos="993"/>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1961A0" w:rsidRDefault="00352544">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12.1 Related Research</w:t>
      </w:r>
    </w:p>
    <w:p w:rsidR="001961A0" w:rsidRDefault="001961A0"/>
    <w:p w:rsidR="001961A0" w:rsidRDefault="001961A0"/>
    <w:p w:rsidR="001961A0" w:rsidRDefault="001961A0"/>
    <w:p w:rsidR="001961A0" w:rsidRDefault="001961A0"/>
    <w:p w:rsidR="001961A0" w:rsidRDefault="001961A0"/>
    <w:p w:rsidR="001961A0" w:rsidRDefault="001961A0"/>
    <w:p w:rsidR="001961A0" w:rsidRDefault="001961A0"/>
    <w:p w:rsidR="001961A0" w:rsidRDefault="001961A0"/>
    <w:p w:rsidR="001961A0" w:rsidRDefault="001961A0"/>
    <w:p w:rsidR="001961A0" w:rsidRDefault="001961A0"/>
    <w:p w:rsidR="001961A0" w:rsidRDefault="001961A0"/>
    <w:p w:rsidR="001961A0" w:rsidRDefault="001961A0"/>
    <w:p w:rsidR="001961A0" w:rsidRDefault="001961A0"/>
    <w:p w:rsidR="001961A0" w:rsidRDefault="001961A0"/>
    <w:sectPr w:rsidR="001961A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Card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0B4"/>
    <w:multiLevelType w:val="multilevel"/>
    <w:tmpl w:val="06429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7C617D"/>
    <w:multiLevelType w:val="multilevel"/>
    <w:tmpl w:val="6A304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CD2C1F"/>
    <w:multiLevelType w:val="multilevel"/>
    <w:tmpl w:val="B79A1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991908"/>
    <w:multiLevelType w:val="multilevel"/>
    <w:tmpl w:val="14882D86"/>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4" w15:restartNumberingAfterBreak="0">
    <w:nsid w:val="6CD04202"/>
    <w:multiLevelType w:val="multilevel"/>
    <w:tmpl w:val="EFBC7D9A"/>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abstractNum w:abstractNumId="5" w15:restartNumberingAfterBreak="0">
    <w:nsid w:val="72EB60BB"/>
    <w:multiLevelType w:val="multilevel"/>
    <w:tmpl w:val="72525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264A63"/>
    <w:multiLevelType w:val="multilevel"/>
    <w:tmpl w:val="D2D4C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1A0"/>
    <w:rsid w:val="001961A0"/>
    <w:rsid w:val="00352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602"/>
  <w15:docId w15:val="{DE2CAF86-FB3F-4ED4-879F-E6B43562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4DE"/>
  </w:style>
  <w:style w:type="paragraph" w:styleId="Heading1">
    <w:name w:val="heading 1"/>
    <w:basedOn w:val="Normal"/>
    <w:next w:val="Normal"/>
    <w:link w:val="Heading1Char"/>
    <w:uiPriority w:val="9"/>
    <w:qFormat/>
    <w:rsid w:val="00B944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4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4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4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4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44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4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4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4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4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DE"/>
    <w:rPr>
      <w:rFonts w:eastAsiaTheme="majorEastAsia" w:cstheme="majorBidi"/>
      <w:color w:val="272727" w:themeColor="text1" w:themeTint="D8"/>
    </w:rPr>
  </w:style>
  <w:style w:type="character" w:customStyle="1" w:styleId="TitleChar">
    <w:name w:val="Title Char"/>
    <w:basedOn w:val="DefaultParagraphFont"/>
    <w:link w:val="Title"/>
    <w:uiPriority w:val="10"/>
    <w:rsid w:val="00B94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B94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DE"/>
    <w:pPr>
      <w:spacing w:before="160"/>
      <w:jc w:val="center"/>
    </w:pPr>
    <w:rPr>
      <w:i/>
      <w:iCs/>
      <w:color w:val="404040" w:themeColor="text1" w:themeTint="BF"/>
    </w:rPr>
  </w:style>
  <w:style w:type="character" w:customStyle="1" w:styleId="QuoteChar">
    <w:name w:val="Quote Char"/>
    <w:basedOn w:val="DefaultParagraphFont"/>
    <w:link w:val="Quote"/>
    <w:uiPriority w:val="29"/>
    <w:rsid w:val="00B944DE"/>
    <w:rPr>
      <w:i/>
      <w:iCs/>
      <w:color w:val="404040" w:themeColor="text1" w:themeTint="BF"/>
    </w:rPr>
  </w:style>
  <w:style w:type="paragraph" w:styleId="ListParagraph">
    <w:name w:val="List Paragraph"/>
    <w:aliases w:val="Lists,MnM Disclaimer,list 1"/>
    <w:basedOn w:val="Normal"/>
    <w:link w:val="ListParagraphChar"/>
    <w:uiPriority w:val="34"/>
    <w:qFormat/>
    <w:rsid w:val="00B944DE"/>
    <w:pPr>
      <w:ind w:left="720"/>
      <w:contextualSpacing/>
    </w:pPr>
  </w:style>
  <w:style w:type="character" w:styleId="IntenseEmphasis">
    <w:name w:val="Intense Emphasis"/>
    <w:basedOn w:val="DefaultParagraphFont"/>
    <w:uiPriority w:val="21"/>
    <w:qFormat/>
    <w:rsid w:val="00B944DE"/>
    <w:rPr>
      <w:i/>
      <w:iCs/>
      <w:color w:val="2F5496" w:themeColor="accent1" w:themeShade="BF"/>
    </w:rPr>
  </w:style>
  <w:style w:type="paragraph" w:styleId="IntenseQuote">
    <w:name w:val="Intense Quote"/>
    <w:basedOn w:val="Normal"/>
    <w:next w:val="Normal"/>
    <w:link w:val="IntenseQuoteChar"/>
    <w:uiPriority w:val="30"/>
    <w:qFormat/>
    <w:rsid w:val="00B944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4DE"/>
    <w:rPr>
      <w:i/>
      <w:iCs/>
      <w:color w:val="2F5496" w:themeColor="accent1" w:themeShade="BF"/>
    </w:rPr>
  </w:style>
  <w:style w:type="character" w:styleId="IntenseReference">
    <w:name w:val="Intense Reference"/>
    <w:basedOn w:val="DefaultParagraphFont"/>
    <w:uiPriority w:val="32"/>
    <w:qFormat/>
    <w:rsid w:val="00B944DE"/>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B9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QHh9Qv4Np/7e9lMB1QjAjM8Xlw==">CgMxLjAaIgoBMBIdChsIB0IXCg5MaWJyZSBGcmFua2xpbhIFQ2FyZG8yDmguaTRwbGtwbGs2ZHphMg5oLjFqaXQzMHljcHVoMTgAciExRGVpVTdyc2V6N0VjbEltbmc4WnpNVjFRMEVTQVlkSHM=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2229</Words>
  <Characters>12711</Characters>
  <Application>Microsoft Office Word</Application>
  <DocSecurity>0</DocSecurity>
  <Lines>105</Lines>
  <Paragraphs>29</Paragraphs>
  <ScaleCrop>false</ScaleCrop>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2025-04-28T06:46:00Z</dcterms:created>
  <dcterms:modified xsi:type="dcterms:W3CDTF">2025-05-06T18:15:00Z</dcterms:modified>
</cp:coreProperties>
</file>