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8D7" w:rsidRDefault="00322B40">
      <w:pPr>
        <w:spacing w:line="360" w:lineRule="auto"/>
        <w:jc w:val="both"/>
        <w:rPr>
          <w:rFonts w:ascii="Libre Franklin" w:eastAsia="Libre Franklin" w:hAnsi="Libre Franklin" w:cs="Libre Franklin"/>
          <w:b/>
          <w:color w:val="002060"/>
          <w:sz w:val="24"/>
          <w:szCs w:val="24"/>
        </w:rPr>
      </w:pPr>
      <w:bookmarkStart w:id="0" w:name="_heading=h.ci7tmz5pyyms"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-2628899</wp:posOffset>
            </wp:positionH>
            <wp:positionV relativeFrom="page">
              <wp:posOffset>-2036444</wp:posOffset>
            </wp:positionV>
            <wp:extent cx="10220215" cy="14454202"/>
            <wp:effectExtent l="0" t="0" r="0" b="0"/>
            <wp:wrapNone/>
            <wp:docPr id="198741042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Specialty Generics Market</w:t>
      </w:r>
    </w:p>
    <w:p w:rsidR="00BA58D7" w:rsidRDefault="00322B4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Specialty Generics Market size was valued at USD 33,550 Million in 2024 and is projected to reach USD 62,446.04 Million by 2032, growing at a CAGR of 8.50% from 2025 to 2032.</w:t>
      </w:r>
    </w:p>
    <w:p w:rsidR="00322B40" w:rsidRDefault="00322B40">
      <w:pPr>
        <w:spacing w:line="360" w:lineRule="auto"/>
        <w:jc w:val="both"/>
        <w:rPr>
          <w:rFonts w:ascii="Libre Franklin" w:eastAsia="Libre Franklin" w:hAnsi="Libre Franklin" w:cs="Libre Franklin"/>
          <w:color w:val="002060"/>
          <w:sz w:val="24"/>
          <w:szCs w:val="24"/>
        </w:rPr>
      </w:pPr>
      <w:bookmarkStart w:id="1" w:name="_GoBack"/>
      <w:r>
        <w:rPr>
          <w:rFonts w:ascii="Libre Franklin" w:eastAsia="Libre Franklin" w:hAnsi="Libre Franklin" w:cs="Libre Franklin"/>
          <w:noProof/>
          <w:color w:val="002060"/>
          <w:sz w:val="24"/>
          <w:szCs w:val="24"/>
        </w:rPr>
        <w:drawing>
          <wp:inline distT="0" distB="0" distL="0" distR="0">
            <wp:extent cx="5731510" cy="2814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Specialt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14320"/>
                    </a:xfrm>
                    <a:prstGeom prst="rect">
                      <a:avLst/>
                    </a:prstGeom>
                  </pic:spPr>
                </pic:pic>
              </a:graphicData>
            </a:graphic>
          </wp:inline>
        </w:drawing>
      </w:r>
      <w:bookmarkEnd w:id="1"/>
    </w:p>
    <w:p w:rsidR="00BA58D7" w:rsidRDefault="00322B4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Specialty Generics represent a crucial and growing segment of the pharmaceutical industry, focused on manufacturing high-quality, cost-effective versions of complex and hard-to-make branded drugs. Unlike traditional generics, which typically replicate simp</w:t>
      </w:r>
      <w:r>
        <w:rPr>
          <w:rFonts w:ascii="Libre Franklin" w:eastAsia="Libre Franklin" w:hAnsi="Libre Franklin" w:cs="Libre Franklin"/>
          <w:color w:val="002060"/>
          <w:sz w:val="24"/>
          <w:szCs w:val="24"/>
        </w:rPr>
        <w:t>le formulations, specialty generics target therapies for complex, chronic, and often life-threatening conditions such as cancer, autoimmune diseases, and rare disorders. Amid rising healthcare costs and the growing need for affordable treatments, specialty</w:t>
      </w:r>
      <w:r>
        <w:rPr>
          <w:rFonts w:ascii="Libre Franklin" w:eastAsia="Libre Franklin" w:hAnsi="Libre Franklin" w:cs="Libre Franklin"/>
          <w:color w:val="002060"/>
          <w:sz w:val="24"/>
          <w:szCs w:val="24"/>
        </w:rPr>
        <w:t xml:space="preserve"> generics have emerged as a critical link between innovation and accessibility. These complex medicines uphold the same high standards of safety, efficacy, and quality as their branded equivalents, while offering more cost-effective solutions. As global he</w:t>
      </w:r>
      <w:r>
        <w:rPr>
          <w:rFonts w:ascii="Libre Franklin" w:eastAsia="Libre Franklin" w:hAnsi="Libre Franklin" w:cs="Libre Franklin"/>
          <w:color w:val="002060"/>
          <w:sz w:val="24"/>
          <w:szCs w:val="24"/>
        </w:rPr>
        <w:t xml:space="preserve">althcare </w:t>
      </w:r>
      <w:proofErr w:type="gramStart"/>
      <w:r>
        <w:rPr>
          <w:rFonts w:ascii="Libre Franklin" w:eastAsia="Libre Franklin" w:hAnsi="Libre Franklin" w:cs="Libre Franklin"/>
          <w:color w:val="002060"/>
          <w:sz w:val="24"/>
          <w:szCs w:val="24"/>
        </w:rPr>
        <w:t>systems</w:t>
      </w:r>
      <w:proofErr w:type="gramEnd"/>
      <w:r>
        <w:rPr>
          <w:rFonts w:ascii="Libre Franklin" w:eastAsia="Libre Franklin" w:hAnsi="Libre Franklin" w:cs="Libre Franklin"/>
          <w:color w:val="002060"/>
          <w:sz w:val="24"/>
          <w:szCs w:val="24"/>
        </w:rPr>
        <w:t xml:space="preserve"> continue to evolve, specialty generics are set to play an increasingly pivotal role in broadening patient access, intensifying market competition, and influencing the next wave of advanced therapeutic options.</w:t>
      </w:r>
    </w:p>
    <w:p w:rsidR="00BA58D7" w:rsidRDefault="00322B4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Specialty Generics Marke</w:t>
      </w:r>
      <w:r>
        <w:rPr>
          <w:rFonts w:ascii="Libre Franklin" w:eastAsia="Libre Franklin" w:hAnsi="Libre Franklin" w:cs="Libre Franklin"/>
          <w:b/>
          <w:color w:val="002060"/>
          <w:sz w:val="24"/>
          <w:szCs w:val="24"/>
        </w:rPr>
        <w:t>t Definition</w:t>
      </w:r>
    </w:p>
    <w:p w:rsidR="00BA58D7" w:rsidRDefault="00322B4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The U.S. Specialty Generics Market refers to the segment of the pharmaceutical industry focused on the development, manufacturing, and commercialization of off-patent specialty drugs, high-complexity medications that treat chronic, rare, or co</w:t>
      </w:r>
      <w:r>
        <w:rPr>
          <w:rFonts w:ascii="Libre Franklin" w:eastAsia="Libre Franklin" w:hAnsi="Libre Franklin" w:cs="Libre Franklin"/>
          <w:color w:val="002060"/>
          <w:sz w:val="24"/>
          <w:szCs w:val="24"/>
        </w:rPr>
        <w:t>mplex conditions. Driven by the need to control healthcare expenses and increase patient access to essential therapies, this market plays a crucial role in the U.S. healthcare ecosystem, addressing diseases like cancer, autoimmune disorders, neurological c</w:t>
      </w:r>
      <w:r>
        <w:rPr>
          <w:rFonts w:ascii="Libre Franklin" w:eastAsia="Libre Franklin" w:hAnsi="Libre Franklin" w:cs="Libre Franklin"/>
          <w:color w:val="002060"/>
          <w:sz w:val="24"/>
          <w:szCs w:val="24"/>
        </w:rPr>
        <w:t>onditions, and more.</w:t>
      </w:r>
    </w:p>
    <w:p w:rsidR="00BA58D7" w:rsidRDefault="00322B40">
      <w:pPr>
        <w:spacing w:line="360" w:lineRule="auto"/>
        <w:jc w:val="both"/>
        <w:rPr>
          <w:rFonts w:ascii="Libre Franklin" w:eastAsia="Libre Franklin" w:hAnsi="Libre Franklin" w:cs="Libre Franklin"/>
          <w:b/>
          <w:color w:val="002060"/>
          <w:sz w:val="24"/>
          <w:szCs w:val="24"/>
        </w:rPr>
      </w:pPr>
      <w:bookmarkStart w:id="2" w:name="_heading=h.8jjjngo2bypq" w:colFirst="0" w:colLast="0"/>
      <w:bookmarkEnd w:id="2"/>
      <w:r>
        <w:rPr>
          <w:rFonts w:ascii="Libre Franklin" w:eastAsia="Libre Franklin" w:hAnsi="Libre Franklin" w:cs="Libre Franklin"/>
          <w:b/>
          <w:color w:val="002060"/>
          <w:sz w:val="24"/>
          <w:szCs w:val="24"/>
        </w:rPr>
        <w:t>U.S. Specialty Generics Market Overview</w:t>
      </w:r>
    </w:p>
    <w:p w:rsidR="00BA58D7" w:rsidRDefault="00322B4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Specialty Generics Market is being propelled by several critical factors. Escalating healthcare costs and the urgent need for affordable treatment alternatives are primary drivers, as sp</w:t>
      </w:r>
      <w:r>
        <w:rPr>
          <w:rFonts w:ascii="Libre Franklin" w:eastAsia="Libre Franklin" w:hAnsi="Libre Franklin" w:cs="Libre Franklin"/>
          <w:color w:val="002060"/>
          <w:sz w:val="24"/>
          <w:szCs w:val="24"/>
        </w:rPr>
        <w:t>ecialty generics offer cost-effective solutions without compromising on quality or efficacy. The expiration of patents on major branded specialty drugs is creating substantial opportunities for generic manufacturers to enter the market. The increasing prev</w:t>
      </w:r>
      <w:r>
        <w:rPr>
          <w:rFonts w:ascii="Libre Franklin" w:eastAsia="Libre Franklin" w:hAnsi="Libre Franklin" w:cs="Libre Franklin"/>
          <w:color w:val="002060"/>
          <w:sz w:val="24"/>
          <w:szCs w:val="24"/>
        </w:rPr>
        <w:t>alence of chronic and complex diseases such as cancer, autoimmune disorders, and rare genetic conditions has heightened demand for accessible specialty therapies.</w:t>
      </w:r>
      <w:r>
        <w:t xml:space="preserve"> </w:t>
      </w:r>
      <w:r>
        <w:rPr>
          <w:rFonts w:ascii="Libre Franklin" w:eastAsia="Libre Franklin" w:hAnsi="Libre Franklin" w:cs="Libre Franklin"/>
          <w:color w:val="002060"/>
          <w:sz w:val="24"/>
          <w:szCs w:val="24"/>
        </w:rPr>
        <w:t xml:space="preserve">Moreover, </w:t>
      </w:r>
      <w:proofErr w:type="spellStart"/>
      <w:r>
        <w:rPr>
          <w:rFonts w:ascii="Libre Franklin" w:eastAsia="Libre Franklin" w:hAnsi="Libre Franklin" w:cs="Libre Franklin"/>
          <w:color w:val="002060"/>
          <w:sz w:val="24"/>
          <w:szCs w:val="24"/>
        </w:rPr>
        <w:t>favorable</w:t>
      </w:r>
      <w:proofErr w:type="spellEnd"/>
      <w:r>
        <w:rPr>
          <w:rFonts w:ascii="Libre Franklin" w:eastAsia="Libre Franklin" w:hAnsi="Libre Franklin" w:cs="Libre Franklin"/>
          <w:color w:val="002060"/>
          <w:sz w:val="24"/>
          <w:szCs w:val="24"/>
        </w:rPr>
        <w:t xml:space="preserve"> regulatory frameworks like the FDA’s efforts to simplify and expedite </w:t>
      </w: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-1562099</wp:posOffset>
            </wp:positionH>
            <wp:positionV relativeFrom="page">
              <wp:align>top</wp:align>
            </wp:positionV>
            <wp:extent cx="10220215" cy="14454202"/>
            <wp:effectExtent l="0" t="0" r="0" b="0"/>
            <wp:wrapNone/>
            <wp:docPr id="198741042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ap</w:t>
      </w:r>
      <w:r>
        <w:rPr>
          <w:rFonts w:ascii="Libre Franklin" w:eastAsia="Libre Franklin" w:hAnsi="Libre Franklin" w:cs="Libre Franklin"/>
          <w:color w:val="002060"/>
          <w:sz w:val="24"/>
          <w:szCs w:val="24"/>
        </w:rPr>
        <w:t xml:space="preserve">provals for complex generics, are facilitating faster market entry. At the same time, rising cost-containment pressures from insurers and healthcare providers, combined with increased patient awareness and demand for affordable therapies, are accelerating </w:t>
      </w:r>
      <w:r>
        <w:rPr>
          <w:rFonts w:ascii="Libre Franklin" w:eastAsia="Libre Franklin" w:hAnsi="Libre Franklin" w:cs="Libre Franklin"/>
          <w:color w:val="002060"/>
          <w:sz w:val="24"/>
          <w:szCs w:val="24"/>
        </w:rPr>
        <w:t>the uptake of specialty generics.</w:t>
      </w:r>
    </w:p>
    <w:p w:rsidR="00BA58D7" w:rsidRDefault="00322B4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Specialty Generics Market Segmentation</w:t>
      </w:r>
    </w:p>
    <w:p w:rsidR="00BA58D7" w:rsidRDefault="00322B4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Specialty Generics Market is segmented based on drug type, therapeutic area, distribution channel, and end user, reflecting the diverse applications and delivery methods</w:t>
      </w:r>
      <w:r>
        <w:rPr>
          <w:rFonts w:ascii="Libre Franklin" w:eastAsia="Libre Franklin" w:hAnsi="Libre Franklin" w:cs="Libre Franklin"/>
          <w:color w:val="002060"/>
          <w:sz w:val="24"/>
          <w:szCs w:val="24"/>
        </w:rPr>
        <w:t xml:space="preserve"> of these complex, cost-effective treatments.</w:t>
      </w:r>
    </w:p>
    <w:p w:rsidR="00BA58D7" w:rsidRDefault="00322B40">
      <w:pPr>
        <w:spacing w:line="276"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Specialty Generics Market, By Drug Type</w:t>
      </w:r>
    </w:p>
    <w:p w:rsidR="00BA58D7" w:rsidRDefault="00322B40">
      <w:pPr>
        <w:numPr>
          <w:ilvl w:val="0"/>
          <w:numId w:val="6"/>
        </w:numPr>
        <w:spacing w:line="276"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Injectable Specialty Generics</w:t>
      </w:r>
    </w:p>
    <w:p w:rsidR="00BA58D7" w:rsidRDefault="00322B40">
      <w:pPr>
        <w:numPr>
          <w:ilvl w:val="0"/>
          <w:numId w:val="6"/>
        </w:numPr>
        <w:spacing w:line="276"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Oral Solids</w:t>
      </w:r>
    </w:p>
    <w:p w:rsidR="00BA58D7" w:rsidRDefault="00322B40">
      <w:pPr>
        <w:numPr>
          <w:ilvl w:val="0"/>
          <w:numId w:val="6"/>
        </w:numPr>
        <w:spacing w:line="276"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Inhalable Drugs</w:t>
      </w:r>
    </w:p>
    <w:p w:rsidR="00BA58D7" w:rsidRDefault="00322B40">
      <w:pPr>
        <w:numPr>
          <w:ilvl w:val="0"/>
          <w:numId w:val="6"/>
        </w:numPr>
        <w:spacing w:line="276"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Ophthalmic Products</w:t>
      </w:r>
    </w:p>
    <w:p w:rsidR="00BA58D7" w:rsidRDefault="00322B40">
      <w:pPr>
        <w:numPr>
          <w:ilvl w:val="0"/>
          <w:numId w:val="6"/>
        </w:numPr>
        <w:spacing w:line="276"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Topical Formulations</w:t>
      </w:r>
    </w:p>
    <w:p w:rsidR="00BA58D7" w:rsidRDefault="00322B40">
      <w:pPr>
        <w:numPr>
          <w:ilvl w:val="0"/>
          <w:numId w:val="6"/>
        </w:numPr>
        <w:spacing w:line="276"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Transdermal Patches</w:t>
      </w:r>
    </w:p>
    <w:p w:rsidR="00BA58D7" w:rsidRDefault="00322B40">
      <w:pPr>
        <w:numPr>
          <w:ilvl w:val="0"/>
          <w:numId w:val="6"/>
        </w:numPr>
        <w:spacing w:line="276"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Biosimilars</w:t>
      </w:r>
      <w:proofErr w:type="spellEnd"/>
    </w:p>
    <w:p w:rsidR="00BA58D7" w:rsidRDefault="00322B4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Specialty Generics Market</w:t>
      </w:r>
      <w:r>
        <w:rPr>
          <w:rFonts w:ascii="Libre Franklin" w:eastAsia="Libre Franklin" w:hAnsi="Libre Franklin" w:cs="Libre Franklin"/>
          <w:color w:val="002060"/>
          <w:sz w:val="24"/>
          <w:szCs w:val="24"/>
        </w:rPr>
        <w:t xml:space="preserve"> by drug type is dominated by injectable formulations, which account for the largest market share due to their widespread use in hospitals and their role in treating critical and chronic conditions like cancer and autoimmune diseases. Oral solids follow cl</w:t>
      </w:r>
      <w:r>
        <w:rPr>
          <w:rFonts w:ascii="Libre Franklin" w:eastAsia="Libre Franklin" w:hAnsi="Libre Franklin" w:cs="Libre Franklin"/>
          <w:color w:val="002060"/>
          <w:sz w:val="24"/>
          <w:szCs w:val="24"/>
        </w:rPr>
        <w:t>osely, offering convenient administration and strong demand in neurology and infectious diseases. Inhalable drugs, ophthalmic products, topical formulations, and transdermal patches represent growing segments, driven by advancements in drug delivery techno</w:t>
      </w:r>
      <w:r>
        <w:rPr>
          <w:rFonts w:ascii="Libre Franklin" w:eastAsia="Libre Franklin" w:hAnsi="Libre Franklin" w:cs="Libre Franklin"/>
          <w:color w:val="002060"/>
          <w:sz w:val="24"/>
          <w:szCs w:val="24"/>
        </w:rPr>
        <w:t xml:space="preserve">logies and increasing patient preference for non-invasive options. Notably, </w:t>
      </w:r>
      <w:proofErr w:type="spellStart"/>
      <w:r>
        <w:rPr>
          <w:rFonts w:ascii="Libre Franklin" w:eastAsia="Libre Franklin" w:hAnsi="Libre Franklin" w:cs="Libre Franklin"/>
          <w:color w:val="002060"/>
          <w:sz w:val="24"/>
          <w:szCs w:val="24"/>
        </w:rPr>
        <w:t>biosimilars</w:t>
      </w:r>
      <w:proofErr w:type="spellEnd"/>
      <w:r>
        <w:rPr>
          <w:rFonts w:ascii="Libre Franklin" w:eastAsia="Libre Franklin" w:hAnsi="Libre Franklin" w:cs="Libre Franklin"/>
          <w:color w:val="002060"/>
          <w:sz w:val="24"/>
          <w:szCs w:val="24"/>
        </w:rPr>
        <w:t xml:space="preserve">, highly similar alternatives to biologic drugs are rapidly gaining momentum in the market, offering a transformative opportunity to lower treatment costs, particularly </w:t>
      </w:r>
      <w:r>
        <w:rPr>
          <w:rFonts w:ascii="Libre Franklin" w:eastAsia="Libre Franklin" w:hAnsi="Libre Franklin" w:cs="Libre Franklin"/>
          <w:color w:val="002060"/>
          <w:sz w:val="24"/>
          <w:szCs w:val="24"/>
        </w:rPr>
        <w:t>in high-expense therapeutic areas like oncology and immunology.</w:t>
      </w:r>
    </w:p>
    <w:p w:rsidR="00BA58D7" w:rsidRDefault="00322B4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Specialty Generics Market, By Therapeutic Area</w:t>
      </w:r>
    </w:p>
    <w:p w:rsidR="00BA58D7" w:rsidRDefault="00322B40">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Oncology</w:t>
      </w:r>
    </w:p>
    <w:p w:rsidR="00BA58D7" w:rsidRDefault="00322B40">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Autoimmune Diseases</w:t>
      </w:r>
    </w:p>
    <w:p w:rsidR="00BA58D7" w:rsidRDefault="00322B40">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Neurology</w:t>
      </w:r>
    </w:p>
    <w:p w:rsidR="00BA58D7" w:rsidRDefault="00322B40">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0288" behindDoc="1" locked="0" layoutInCell="1" hidden="0" allowOverlap="1">
            <wp:simplePos x="0" y="0"/>
            <wp:positionH relativeFrom="page">
              <wp:posOffset>-685799</wp:posOffset>
            </wp:positionH>
            <wp:positionV relativeFrom="margin">
              <wp:posOffset>-2095499</wp:posOffset>
            </wp:positionV>
            <wp:extent cx="10220215" cy="14454202"/>
            <wp:effectExtent l="0" t="0" r="0" b="0"/>
            <wp:wrapNone/>
            <wp:docPr id="198741042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Cardiovascular Diseases</w:t>
      </w:r>
    </w:p>
    <w:p w:rsidR="00BA58D7" w:rsidRDefault="00322B40">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Respiratory Disorders</w:t>
      </w:r>
    </w:p>
    <w:p w:rsidR="00BA58D7" w:rsidRDefault="00322B40">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Endocrinology</w:t>
      </w:r>
    </w:p>
    <w:p w:rsidR="00BA58D7" w:rsidRDefault="00322B40">
      <w:pPr>
        <w:numPr>
          <w:ilvl w:val="0"/>
          <w:numId w:val="7"/>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Infectious Diseases</w:t>
      </w:r>
    </w:p>
    <w:p w:rsidR="00BA58D7" w:rsidRDefault="00322B4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Specialty Generics Market, segmented by therapeutic area, is led by oncology, driven by the high prevalence of cancer and the steep costs of branded cancer therapies, creating strong demand for affordable alternatives. Autoimmune diseases and neur</w:t>
      </w:r>
      <w:r>
        <w:rPr>
          <w:rFonts w:ascii="Libre Franklin" w:eastAsia="Libre Franklin" w:hAnsi="Libre Franklin" w:cs="Libre Franklin"/>
          <w:color w:val="002060"/>
          <w:sz w:val="24"/>
          <w:szCs w:val="24"/>
        </w:rPr>
        <w:t xml:space="preserve">ological disorders also represent significant </w:t>
      </w:r>
      <w:r>
        <w:rPr>
          <w:rFonts w:ascii="Libre Franklin" w:eastAsia="Libre Franklin" w:hAnsi="Libre Franklin" w:cs="Libre Franklin"/>
          <w:color w:val="002060"/>
          <w:sz w:val="24"/>
          <w:szCs w:val="24"/>
        </w:rPr>
        <w:lastRenderedPageBreak/>
        <w:t xml:space="preserve">market segments, </w:t>
      </w:r>
      <w:proofErr w:type="spellStart"/>
      <w:r>
        <w:rPr>
          <w:rFonts w:ascii="Libre Franklin" w:eastAsia="Libre Franklin" w:hAnsi="Libre Franklin" w:cs="Libre Franklin"/>
          <w:color w:val="002060"/>
          <w:sz w:val="24"/>
          <w:szCs w:val="24"/>
        </w:rPr>
        <w:t>fueled</w:t>
      </w:r>
      <w:proofErr w:type="spellEnd"/>
      <w:r>
        <w:rPr>
          <w:rFonts w:ascii="Libre Franklin" w:eastAsia="Libre Franklin" w:hAnsi="Libre Franklin" w:cs="Libre Franklin"/>
          <w:color w:val="002060"/>
          <w:sz w:val="24"/>
          <w:szCs w:val="24"/>
        </w:rPr>
        <w:t xml:space="preserve"> by the rising incidence of conditions such as rheumatoid arthritis, multiple sclerosis, and epilepsy. Cardiovascular diseases and respiratory disorders continue to contribute to market g</w:t>
      </w:r>
      <w:r>
        <w:rPr>
          <w:rFonts w:ascii="Libre Franklin" w:eastAsia="Libre Franklin" w:hAnsi="Libre Franklin" w:cs="Libre Franklin"/>
          <w:color w:val="002060"/>
          <w:sz w:val="24"/>
          <w:szCs w:val="24"/>
        </w:rPr>
        <w:t>rowth, as chronic illnesses like hypertension, heart disease, and asthma remain widespread. Endocrinology, driven by the rising prevalence of diabetes and thyroid disorders, is experiencing steady growth, while infectious diseases most notably HIV and hepa</w:t>
      </w:r>
      <w:r>
        <w:rPr>
          <w:rFonts w:ascii="Libre Franklin" w:eastAsia="Libre Franklin" w:hAnsi="Libre Franklin" w:cs="Libre Franklin"/>
          <w:color w:val="002060"/>
          <w:sz w:val="24"/>
          <w:szCs w:val="24"/>
        </w:rPr>
        <w:t>titis C, are accelerating the demand for specialty generics as healthcare systems increasingly prioritize cost-effective treatment options.</w:t>
      </w:r>
    </w:p>
    <w:p w:rsidR="00BA58D7" w:rsidRDefault="00322B4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Specialty Generics Market, By Distribution Channel</w:t>
      </w:r>
    </w:p>
    <w:p w:rsidR="00BA58D7" w:rsidRDefault="00322B40">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Hospital Pharmacies</w:t>
      </w:r>
    </w:p>
    <w:p w:rsidR="00BA58D7" w:rsidRDefault="00322B40">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Retail Pharmacies</w:t>
      </w:r>
    </w:p>
    <w:p w:rsidR="00BA58D7" w:rsidRDefault="00322B40">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Online Pharmacies</w:t>
      </w:r>
    </w:p>
    <w:p w:rsidR="00BA58D7" w:rsidRDefault="00322B40">
      <w:pPr>
        <w:numPr>
          <w:ilvl w:val="0"/>
          <w:numId w:val="2"/>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Specialty Clinics &amp; Outpatient </w:t>
      </w:r>
      <w:proofErr w:type="spellStart"/>
      <w:r>
        <w:rPr>
          <w:rFonts w:ascii="Libre Franklin" w:eastAsia="Libre Franklin" w:hAnsi="Libre Franklin" w:cs="Libre Franklin"/>
          <w:b/>
          <w:color w:val="002060"/>
          <w:sz w:val="24"/>
          <w:szCs w:val="24"/>
        </w:rPr>
        <w:t>Centers</w:t>
      </w:r>
      <w:proofErr w:type="spellEnd"/>
    </w:p>
    <w:p w:rsidR="00BA58D7" w:rsidRDefault="00322B4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Specialty Generics Market, segmented by distribution channel, is primarily dominated by hospital pharmacies, given their critical role in administering complex therapies for acute and chronic conditions. Reta</w:t>
      </w:r>
      <w:r>
        <w:rPr>
          <w:rFonts w:ascii="Libre Franklin" w:eastAsia="Libre Franklin" w:hAnsi="Libre Franklin" w:cs="Libre Franklin"/>
          <w:color w:val="002060"/>
          <w:sz w:val="24"/>
          <w:szCs w:val="24"/>
        </w:rPr>
        <w:t>il pharmacies follow closely, expanding access to specialty generics for outpatient care and chronic disease management. Meanwhile, online pharmacies are rapidly emerging as a key growth channel, driven by increasing patient preference for convenience, cos</w:t>
      </w:r>
      <w:r>
        <w:rPr>
          <w:rFonts w:ascii="Libre Franklin" w:eastAsia="Libre Franklin" w:hAnsi="Libre Franklin" w:cs="Libre Franklin"/>
          <w:color w:val="002060"/>
          <w:sz w:val="24"/>
          <w:szCs w:val="24"/>
        </w:rPr>
        <w:t xml:space="preserve">t savings, and home delivery services. Specialty clinics and outpatient </w:t>
      </w:r>
      <w:proofErr w:type="spellStart"/>
      <w:r>
        <w:rPr>
          <w:rFonts w:ascii="Libre Franklin" w:eastAsia="Libre Franklin" w:hAnsi="Libre Franklin" w:cs="Libre Franklin"/>
          <w:color w:val="002060"/>
          <w:sz w:val="24"/>
          <w:szCs w:val="24"/>
        </w:rPr>
        <w:t>centers</w:t>
      </w:r>
      <w:proofErr w:type="spellEnd"/>
      <w:r>
        <w:rPr>
          <w:rFonts w:ascii="Libre Franklin" w:eastAsia="Libre Franklin" w:hAnsi="Libre Franklin" w:cs="Libre Franklin"/>
          <w:color w:val="002060"/>
          <w:sz w:val="24"/>
          <w:szCs w:val="24"/>
        </w:rPr>
        <w:t xml:space="preserve"> also contribute significantly, particularly in delivering specialty generics for targeted therapies such as oncology, neurology, and autoimmune treatments, offering patients mo</w:t>
      </w:r>
      <w:r>
        <w:rPr>
          <w:rFonts w:ascii="Libre Franklin" w:eastAsia="Libre Franklin" w:hAnsi="Libre Franklin" w:cs="Libre Franklin"/>
          <w:color w:val="002060"/>
          <w:sz w:val="24"/>
          <w:szCs w:val="24"/>
        </w:rPr>
        <w:t>re accessible and specialized care settings.</w:t>
      </w:r>
    </w:p>
    <w:p w:rsidR="00BA58D7" w:rsidRDefault="00BA58D7">
      <w:pPr>
        <w:spacing w:line="360" w:lineRule="auto"/>
        <w:jc w:val="both"/>
        <w:rPr>
          <w:rFonts w:ascii="Libre Franklin" w:eastAsia="Libre Franklin" w:hAnsi="Libre Franklin" w:cs="Libre Franklin"/>
          <w:b/>
          <w:color w:val="002060"/>
          <w:sz w:val="24"/>
          <w:szCs w:val="24"/>
        </w:rPr>
      </w:pPr>
    </w:p>
    <w:p w:rsidR="00BA58D7" w:rsidRDefault="00BA58D7">
      <w:pPr>
        <w:spacing w:line="360" w:lineRule="auto"/>
        <w:jc w:val="both"/>
        <w:rPr>
          <w:rFonts w:ascii="Libre Franklin" w:eastAsia="Libre Franklin" w:hAnsi="Libre Franklin" w:cs="Libre Franklin"/>
          <w:b/>
          <w:color w:val="002060"/>
          <w:sz w:val="24"/>
          <w:szCs w:val="24"/>
        </w:rPr>
      </w:pPr>
    </w:p>
    <w:p w:rsidR="00BA58D7" w:rsidRDefault="00322B4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-838199</wp:posOffset>
            </wp:positionH>
            <wp:positionV relativeFrom="page">
              <wp:posOffset>-1670049</wp:posOffset>
            </wp:positionV>
            <wp:extent cx="10220215" cy="14454202"/>
            <wp:effectExtent l="0" t="0" r="0" b="0"/>
            <wp:wrapNone/>
            <wp:docPr id="198741042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Specialty Generics Market, By End User</w:t>
      </w:r>
    </w:p>
    <w:p w:rsidR="00BA58D7" w:rsidRDefault="00322B40">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Hospitals</w:t>
      </w:r>
    </w:p>
    <w:p w:rsidR="00BA58D7" w:rsidRDefault="00322B40">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Specialty Clinics</w:t>
      </w:r>
    </w:p>
    <w:p w:rsidR="00BA58D7" w:rsidRDefault="00322B40">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 xml:space="preserve">Ambulatory Surgical </w:t>
      </w:r>
      <w:proofErr w:type="spellStart"/>
      <w:r>
        <w:rPr>
          <w:rFonts w:ascii="Libre Franklin" w:eastAsia="Libre Franklin" w:hAnsi="Libre Franklin" w:cs="Libre Franklin"/>
          <w:b/>
          <w:color w:val="002060"/>
          <w:sz w:val="24"/>
          <w:szCs w:val="24"/>
        </w:rPr>
        <w:t>Centers</w:t>
      </w:r>
      <w:proofErr w:type="spellEnd"/>
    </w:p>
    <w:p w:rsidR="00BA58D7" w:rsidRDefault="00322B40">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Homecare Settings</w:t>
      </w:r>
    </w:p>
    <w:p w:rsidR="00BA58D7" w:rsidRDefault="00322B4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terms of end users, hospitals represent the largest share of the U.S. Specialty Generics Market, owing to their central role in administering high-complexity treatments, particularly for acute and life-threatening conditions. Specialty clinics are also </w:t>
      </w:r>
      <w:r>
        <w:rPr>
          <w:rFonts w:ascii="Libre Franklin" w:eastAsia="Libre Franklin" w:hAnsi="Libre Franklin" w:cs="Libre Franklin"/>
          <w:color w:val="002060"/>
          <w:sz w:val="24"/>
          <w:szCs w:val="24"/>
        </w:rPr>
        <w:t xml:space="preserve">key contributors, offering targeted therapies in areas like oncology and neurology. Ambulatory surgical </w:t>
      </w:r>
      <w:proofErr w:type="spellStart"/>
      <w:r>
        <w:rPr>
          <w:rFonts w:ascii="Libre Franklin" w:eastAsia="Libre Franklin" w:hAnsi="Libre Franklin" w:cs="Libre Franklin"/>
          <w:color w:val="002060"/>
          <w:sz w:val="24"/>
          <w:szCs w:val="24"/>
        </w:rPr>
        <w:t>centers</w:t>
      </w:r>
      <w:proofErr w:type="spellEnd"/>
      <w:r>
        <w:rPr>
          <w:rFonts w:ascii="Libre Franklin" w:eastAsia="Libre Franklin" w:hAnsi="Libre Franklin" w:cs="Libre Franklin"/>
          <w:color w:val="002060"/>
          <w:sz w:val="24"/>
          <w:szCs w:val="24"/>
        </w:rPr>
        <w:t xml:space="preserve"> are gaining traction due to the growing trend toward outpatient procedures and cost-effective care delivery. Meanwhile, homecare settings are em</w:t>
      </w:r>
      <w:r>
        <w:rPr>
          <w:rFonts w:ascii="Libre Franklin" w:eastAsia="Libre Franklin" w:hAnsi="Libre Franklin" w:cs="Libre Franklin"/>
          <w:color w:val="002060"/>
          <w:sz w:val="24"/>
          <w:szCs w:val="24"/>
        </w:rPr>
        <w:t>erging as a promising segment, driven by the increasing use of self-administered specialty generics and the shift toward patient-</w:t>
      </w:r>
      <w:proofErr w:type="spellStart"/>
      <w:r>
        <w:rPr>
          <w:rFonts w:ascii="Libre Franklin" w:eastAsia="Libre Franklin" w:hAnsi="Libre Franklin" w:cs="Libre Franklin"/>
          <w:color w:val="002060"/>
          <w:sz w:val="24"/>
          <w:szCs w:val="24"/>
        </w:rPr>
        <w:t>centered</w:t>
      </w:r>
      <w:proofErr w:type="spellEnd"/>
      <w:r>
        <w:rPr>
          <w:rFonts w:ascii="Libre Franklin" w:eastAsia="Libre Franklin" w:hAnsi="Libre Franklin" w:cs="Libre Franklin"/>
          <w:color w:val="002060"/>
          <w:sz w:val="24"/>
          <w:szCs w:val="24"/>
        </w:rPr>
        <w:t>, at-home treatment models.</w:t>
      </w:r>
    </w:p>
    <w:p w:rsidR="00BA58D7" w:rsidRDefault="00322B4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Key Players </w:t>
      </w:r>
    </w:p>
    <w:p w:rsidR="00BA58D7" w:rsidRDefault="00322B40">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 xml:space="preserve">U.S. inhalation </w:t>
      </w:r>
      <w:proofErr w:type="spellStart"/>
      <w:r>
        <w:rPr>
          <w:rFonts w:ascii="Libre Franklin" w:eastAsia="Libre Franklin" w:hAnsi="Libre Franklin" w:cs="Libre Franklin"/>
          <w:color w:val="002060"/>
          <w:sz w:val="24"/>
          <w:szCs w:val="24"/>
        </w:rPr>
        <w:t>anesthesia</w:t>
      </w:r>
      <w:proofErr w:type="spellEnd"/>
      <w:r>
        <w:rPr>
          <w:rFonts w:ascii="Libre Franklin" w:eastAsia="Libre Franklin" w:hAnsi="Libre Franklin" w:cs="Libre Franklin"/>
          <w:color w:val="002060"/>
          <w:sz w:val="24"/>
          <w:szCs w:val="24"/>
        </w:rPr>
        <w:t xml:space="preserve"> market</w:t>
      </w:r>
      <w:r>
        <w:rPr>
          <w:rFonts w:ascii="Libre Franklin" w:eastAsia="Libre Franklin" w:hAnsi="Libre Franklin" w:cs="Libre Franklin"/>
          <w:color w:val="1F3864"/>
          <w:sz w:val="24"/>
          <w:szCs w:val="24"/>
        </w:rPr>
        <w:t xml:space="preserve">" study report will provide valuable insight emphasizing the U.S. market. The major players in the market </w:t>
      </w:r>
      <w:proofErr w:type="spellStart"/>
      <w:r>
        <w:rPr>
          <w:rFonts w:ascii="Libre Franklin" w:eastAsia="Libre Franklin" w:hAnsi="Libre Franklin" w:cs="Libre Franklin"/>
          <w:color w:val="1F3864"/>
          <w:sz w:val="24"/>
          <w:szCs w:val="24"/>
        </w:rPr>
        <w:t>Teva</w:t>
      </w:r>
      <w:proofErr w:type="spellEnd"/>
      <w:r>
        <w:rPr>
          <w:rFonts w:ascii="Libre Franklin" w:eastAsia="Libre Franklin" w:hAnsi="Libre Franklin" w:cs="Libre Franklin"/>
          <w:color w:val="1F3864"/>
          <w:sz w:val="24"/>
          <w:szCs w:val="24"/>
        </w:rPr>
        <w:t xml:space="preserve"> Pharmaceuticals, Mylan, Sandoz, </w:t>
      </w:r>
      <w:proofErr w:type="spellStart"/>
      <w:r>
        <w:rPr>
          <w:rFonts w:ascii="Libre Franklin" w:eastAsia="Libre Franklin" w:hAnsi="Libre Franklin" w:cs="Libre Franklin"/>
          <w:color w:val="1F3864"/>
          <w:sz w:val="24"/>
          <w:szCs w:val="24"/>
        </w:rPr>
        <w:t>Amneal</w:t>
      </w:r>
      <w:proofErr w:type="spellEnd"/>
      <w:r>
        <w:rPr>
          <w:rFonts w:ascii="Libre Franklin" w:eastAsia="Libre Franklin" w:hAnsi="Libre Franklin" w:cs="Libre Franklin"/>
          <w:color w:val="1F3864"/>
          <w:sz w:val="24"/>
          <w:szCs w:val="24"/>
        </w:rPr>
        <w:t xml:space="preserve"> Pharmaceuticals, Endo International, Sun Pharmaceutical Industries, Fresenius </w:t>
      </w:r>
      <w:proofErr w:type="spellStart"/>
      <w:r>
        <w:rPr>
          <w:rFonts w:ascii="Libre Franklin" w:eastAsia="Libre Franklin" w:hAnsi="Libre Franklin" w:cs="Libre Franklin"/>
          <w:color w:val="1F3864"/>
          <w:sz w:val="24"/>
          <w:szCs w:val="24"/>
        </w:rPr>
        <w:t>Kabi</w:t>
      </w:r>
      <w:proofErr w:type="spellEnd"/>
      <w:r>
        <w:rPr>
          <w:rFonts w:ascii="Libre Franklin" w:eastAsia="Libre Franklin" w:hAnsi="Libre Franklin" w:cs="Libre Franklin"/>
          <w:color w:val="1F3864"/>
          <w:sz w:val="24"/>
          <w:szCs w:val="24"/>
        </w:rPr>
        <w:t>, Pfizer, Baxter Interna</w:t>
      </w:r>
      <w:r>
        <w:rPr>
          <w:rFonts w:ascii="Libre Franklin" w:eastAsia="Libre Franklin" w:hAnsi="Libre Franklin" w:cs="Libre Franklin"/>
          <w:color w:val="1F3864"/>
          <w:sz w:val="24"/>
          <w:szCs w:val="24"/>
        </w:rPr>
        <w:t xml:space="preserve">tional, </w:t>
      </w:r>
      <w:proofErr w:type="spellStart"/>
      <w:r>
        <w:rPr>
          <w:rFonts w:ascii="Libre Franklin" w:eastAsia="Libre Franklin" w:hAnsi="Libre Franklin" w:cs="Libre Franklin"/>
          <w:color w:val="1F3864"/>
          <w:sz w:val="24"/>
          <w:szCs w:val="24"/>
        </w:rPr>
        <w:t>Cipla</w:t>
      </w:r>
      <w:proofErr w:type="spellEnd"/>
      <w:r>
        <w:rPr>
          <w:rFonts w:ascii="Libre Franklin" w:eastAsia="Libre Franklin" w:hAnsi="Libre Franklin" w:cs="Libre Franklin"/>
          <w:color w:val="1F3864"/>
          <w:sz w:val="24"/>
          <w:szCs w:val="24"/>
        </w:rPr>
        <w:t xml:space="preserve"> USA, </w:t>
      </w:r>
      <w:proofErr w:type="spellStart"/>
      <w:r>
        <w:rPr>
          <w:rFonts w:ascii="Libre Franklin" w:eastAsia="Libre Franklin" w:hAnsi="Libre Franklin" w:cs="Libre Franklin"/>
          <w:color w:val="1F3864"/>
          <w:sz w:val="24"/>
          <w:szCs w:val="24"/>
        </w:rPr>
        <w:t>Hikma</w:t>
      </w:r>
      <w:proofErr w:type="spellEnd"/>
      <w:r>
        <w:rPr>
          <w:rFonts w:ascii="Libre Franklin" w:eastAsia="Libre Franklin" w:hAnsi="Libre Franklin" w:cs="Libre Franklin"/>
          <w:color w:val="1F3864"/>
          <w:sz w:val="24"/>
          <w:szCs w:val="24"/>
        </w:rPr>
        <w:t xml:space="preserve"> Pharmaceuticals, </w:t>
      </w:r>
      <w:proofErr w:type="spellStart"/>
      <w:r>
        <w:rPr>
          <w:rFonts w:ascii="Libre Franklin" w:eastAsia="Libre Franklin" w:hAnsi="Libre Franklin" w:cs="Libre Franklin"/>
          <w:color w:val="1F3864"/>
          <w:sz w:val="24"/>
          <w:szCs w:val="24"/>
        </w:rPr>
        <w:t>Teligent</w:t>
      </w:r>
      <w:proofErr w:type="spellEnd"/>
      <w:r>
        <w:rPr>
          <w:rFonts w:ascii="Libre Franklin" w:eastAsia="Libre Franklin" w:hAnsi="Libre Franklin" w:cs="Libre Franklin"/>
          <w:color w:val="1F3864"/>
          <w:sz w:val="24"/>
          <w:szCs w:val="24"/>
        </w:rPr>
        <w:t>, Inc., Granules Pharmaceuticals USA, Epic Pharma, LLC, Breckenridge Pharmaceutical, Inc.</w:t>
      </w:r>
      <w:r>
        <w:t xml:space="preserve">, </w:t>
      </w:r>
      <w:r>
        <w:rPr>
          <w:rFonts w:ascii="Libre Franklin" w:eastAsia="Libre Franklin" w:hAnsi="Libre Franklin" w:cs="Libre Franklin"/>
          <w:color w:val="1F3864"/>
          <w:sz w:val="24"/>
          <w:szCs w:val="24"/>
        </w:rPr>
        <w:t>Camber Pharmaceuticals among others. Our market analysis also entails a section solely dedicated to such major play</w:t>
      </w:r>
      <w:r>
        <w:rPr>
          <w:rFonts w:ascii="Libre Franklin" w:eastAsia="Libre Franklin" w:hAnsi="Libre Franklin" w:cs="Libre Franklin"/>
          <w:color w:val="1F3864"/>
          <w:sz w:val="24"/>
          <w:szCs w:val="24"/>
        </w:rPr>
        <w:t>ers wherein our analysts provide an insight into the financial statements of all the major players, along with product benchmarking and SWOT analysis.</w:t>
      </w:r>
      <w:r>
        <w:rPr>
          <w:rFonts w:ascii="Libre Franklin" w:eastAsia="Libre Franklin" w:hAnsi="Libre Franklin" w:cs="Libre Franklin"/>
        </w:rPr>
        <w:t xml:space="preserve"> </w:t>
      </w:r>
    </w:p>
    <w:p w:rsidR="00BA58D7" w:rsidRDefault="00322B40">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w:t>
      </w:r>
    </w:p>
    <w:p w:rsidR="00BA58D7" w:rsidRDefault="00322B40">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Hikma</w:t>
      </w:r>
      <w:proofErr w:type="spellEnd"/>
      <w:r>
        <w:rPr>
          <w:rFonts w:ascii="Libre Franklin" w:eastAsia="Libre Franklin" w:hAnsi="Libre Franklin" w:cs="Libre Franklin"/>
          <w:color w:val="1F3864"/>
          <w:sz w:val="24"/>
          <w:szCs w:val="24"/>
        </w:rPr>
        <w:t xml:space="preserve"> Pharmaceuticals received FDA approval for its generic version of Novo Nor</w:t>
      </w:r>
      <w:r>
        <w:rPr>
          <w:rFonts w:ascii="Libre Franklin" w:eastAsia="Libre Franklin" w:hAnsi="Libre Franklin" w:cs="Libre Franklin"/>
          <w:color w:val="1F3864"/>
          <w:sz w:val="24"/>
          <w:szCs w:val="24"/>
        </w:rPr>
        <w:t xml:space="preserve">disk’s diabetes drug </w:t>
      </w:r>
      <w:proofErr w:type="spellStart"/>
      <w:r>
        <w:rPr>
          <w:rFonts w:ascii="Libre Franklin" w:eastAsia="Libre Franklin" w:hAnsi="Libre Franklin" w:cs="Libre Franklin"/>
          <w:color w:val="1F3864"/>
          <w:sz w:val="24"/>
          <w:szCs w:val="24"/>
        </w:rPr>
        <w:t>Victoza</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liraglutide</w:t>
      </w:r>
      <w:proofErr w:type="spellEnd"/>
      <w:r>
        <w:rPr>
          <w:rFonts w:ascii="Libre Franklin" w:eastAsia="Libre Franklin" w:hAnsi="Libre Franklin" w:cs="Libre Franklin"/>
          <w:color w:val="1F3864"/>
          <w:sz w:val="24"/>
          <w:szCs w:val="24"/>
        </w:rPr>
        <w:t>), making a more affordable treatment option available for type 2 diabetes patients in the U.S.</w:t>
      </w:r>
    </w:p>
    <w:p w:rsidR="00BA58D7" w:rsidRDefault="00322B40">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In 2024, the FDA released draft guidance to simplify the biosimilar approval process by potentially removing the need f</w:t>
      </w:r>
      <w:r>
        <w:rPr>
          <w:rFonts w:ascii="Libre Franklin" w:eastAsia="Libre Franklin" w:hAnsi="Libre Franklin" w:cs="Libre Franklin"/>
          <w:color w:val="1F3864"/>
          <w:sz w:val="24"/>
          <w:szCs w:val="24"/>
        </w:rPr>
        <w:t>or switching studies to prove interchangeability, which could speed up access to these products.</w:t>
      </w:r>
    </w:p>
    <w:p w:rsidR="00BA58D7" w:rsidRDefault="00322B40">
      <w:pPr>
        <w:numPr>
          <w:ilvl w:val="0"/>
          <w:numId w:val="4"/>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noProof/>
          <w:color w:val="000000"/>
        </w:rPr>
        <w:lastRenderedPageBreak/>
        <w:drawing>
          <wp:anchor distT="0" distB="0" distL="0" distR="0" simplePos="0" relativeHeight="251662336" behindDoc="1" locked="0" layoutInCell="1" hidden="0" allowOverlap="1">
            <wp:simplePos x="0" y="0"/>
            <wp:positionH relativeFrom="margin">
              <wp:align>center</wp:align>
            </wp:positionH>
            <wp:positionV relativeFrom="margin">
              <wp:align>center</wp:align>
            </wp:positionV>
            <wp:extent cx="10220215" cy="14454202"/>
            <wp:effectExtent l="0" t="0" r="0" b="0"/>
            <wp:wrapNone/>
            <wp:docPr id="198741042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 xml:space="preserve">In 2024, the FDA had approved 61 </w:t>
      </w:r>
      <w:proofErr w:type="spellStart"/>
      <w:r>
        <w:rPr>
          <w:rFonts w:ascii="Libre Franklin" w:eastAsia="Libre Franklin" w:hAnsi="Libre Franklin" w:cs="Libre Franklin"/>
          <w:color w:val="1F3864"/>
          <w:sz w:val="24"/>
          <w:szCs w:val="24"/>
        </w:rPr>
        <w:t>biosimilars</w:t>
      </w:r>
      <w:proofErr w:type="spellEnd"/>
      <w:r>
        <w:rPr>
          <w:rFonts w:ascii="Libre Franklin" w:eastAsia="Libre Franklin" w:hAnsi="Libre Franklin" w:cs="Libre Franklin"/>
          <w:color w:val="1F3864"/>
          <w:sz w:val="24"/>
          <w:szCs w:val="24"/>
        </w:rPr>
        <w:t xml:space="preserve"> across 17 molecules, resulting in $12.4 billion in healthcare savings and highlighting its push to make biologic treatments more affordable and accessible.</w:t>
      </w:r>
    </w:p>
    <w:p w:rsidR="00BA58D7" w:rsidRDefault="00BA58D7">
      <w:pPr>
        <w:spacing w:line="360" w:lineRule="auto"/>
        <w:jc w:val="both"/>
        <w:rPr>
          <w:rFonts w:ascii="Libre Franklin" w:eastAsia="Libre Franklin" w:hAnsi="Libre Franklin" w:cs="Libre Franklin"/>
          <w:b/>
          <w:color w:val="1F3864"/>
          <w:sz w:val="24"/>
          <w:szCs w:val="24"/>
        </w:rPr>
      </w:pPr>
    </w:p>
    <w:p w:rsidR="00BA58D7" w:rsidRDefault="00322B4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BA58D7" w:rsidRDefault="00322B4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 xml:space="preserve">U.S. inhalation </w:t>
      </w:r>
      <w:proofErr w:type="spellStart"/>
      <w:r>
        <w:rPr>
          <w:rFonts w:ascii="Libre Franklin" w:eastAsia="Libre Franklin" w:hAnsi="Libre Franklin" w:cs="Libre Franklin"/>
          <w:color w:val="002060"/>
          <w:sz w:val="24"/>
          <w:szCs w:val="24"/>
        </w:rPr>
        <w:t>anesthesia</w:t>
      </w:r>
      <w:proofErr w:type="spellEnd"/>
      <w:r>
        <w:rPr>
          <w:rFonts w:ascii="Libre Franklin" w:eastAsia="Libre Franklin" w:hAnsi="Libre Franklin" w:cs="Libre Franklin"/>
          <w:color w:val="002060"/>
          <w:sz w:val="24"/>
          <w:szCs w:val="24"/>
        </w:rPr>
        <w:t xml:space="preserve">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BA58D7" w:rsidRDefault="00322B40">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BA58D7" w:rsidRDefault="00322B40">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w:t>
      </w:r>
      <w:r>
        <w:rPr>
          <w:rFonts w:ascii="Libre Franklin" w:eastAsia="Libre Franklin" w:hAnsi="Libre Franklin" w:cs="Libre Franklin"/>
          <w:color w:val="1F3864"/>
          <w:sz w:val="24"/>
          <w:szCs w:val="24"/>
        </w:rPr>
        <w:t xml:space="preserve">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can be</w:t>
      </w:r>
      <w:r>
        <w:rPr>
          <w:rFonts w:ascii="Libre Franklin" w:eastAsia="Libre Franklin" w:hAnsi="Libre Franklin" w:cs="Libre Franklin"/>
          <w:color w:val="1F3864"/>
          <w:sz w:val="24"/>
          <w:szCs w:val="24"/>
        </w:rPr>
        <w:t xml:space="preserve"> used to assess the competitive landscape </w:t>
      </w:r>
      <w:r>
        <w:rPr>
          <w:rFonts w:ascii="Libre Franklin" w:eastAsia="Libre Franklin" w:hAnsi="Libre Franklin" w:cs="Libre Franklin"/>
          <w:color w:val="002060"/>
          <w:sz w:val="24"/>
          <w:szCs w:val="24"/>
        </w:rPr>
        <w:t xml:space="preserve">U.S. inhalation </w:t>
      </w:r>
      <w:proofErr w:type="spellStart"/>
      <w:r>
        <w:rPr>
          <w:rFonts w:ascii="Libre Franklin" w:eastAsia="Libre Franklin" w:hAnsi="Libre Franklin" w:cs="Libre Franklin"/>
          <w:color w:val="002060"/>
          <w:sz w:val="24"/>
          <w:szCs w:val="24"/>
        </w:rPr>
        <w:t>anesthesia</w:t>
      </w:r>
      <w:proofErr w:type="spellEnd"/>
      <w:r>
        <w:rPr>
          <w:rFonts w:ascii="Libre Franklin" w:eastAsia="Libre Franklin" w:hAnsi="Libre Franklin" w:cs="Libre Franklin"/>
          <w:color w:val="002060"/>
          <w:sz w:val="24"/>
          <w:szCs w:val="24"/>
        </w:rPr>
        <w:t xml:space="preserve"> market,</w:t>
      </w:r>
      <w:r>
        <w:rPr>
          <w:rFonts w:ascii="Libre Franklin" w:eastAsia="Libre Franklin" w:hAnsi="Libre Franklin" w:cs="Libre Franklin"/>
          <w:color w:val="1F3864"/>
          <w:sz w:val="24"/>
          <w:szCs w:val="24"/>
        </w:rPr>
        <w:t xml:space="preserve"> gauge the attractiveness of a particular sector, and assess investment possibilities.</w:t>
      </w:r>
    </w:p>
    <w:p w:rsidR="00BA58D7" w:rsidRDefault="00BA58D7">
      <w:pPr>
        <w:spacing w:before="240" w:line="360" w:lineRule="auto"/>
        <w:jc w:val="both"/>
        <w:rPr>
          <w:rFonts w:ascii="Times New Roman" w:eastAsia="Times New Roman" w:hAnsi="Times New Roman" w:cs="Times New Roman"/>
          <w:color w:val="1F3864"/>
          <w:sz w:val="40"/>
          <w:szCs w:val="40"/>
        </w:rPr>
      </w:pPr>
    </w:p>
    <w:p w:rsidR="00BA58D7" w:rsidRDefault="00BA58D7">
      <w:pPr>
        <w:spacing w:before="240" w:line="360" w:lineRule="auto"/>
        <w:jc w:val="both"/>
        <w:rPr>
          <w:rFonts w:ascii="Times New Roman" w:eastAsia="Times New Roman" w:hAnsi="Times New Roman" w:cs="Times New Roman"/>
          <w:color w:val="1F3864"/>
          <w:sz w:val="40"/>
          <w:szCs w:val="40"/>
        </w:rPr>
      </w:pPr>
    </w:p>
    <w:p w:rsidR="00BA58D7" w:rsidRDefault="00BA58D7">
      <w:pPr>
        <w:spacing w:before="240" w:line="360" w:lineRule="auto"/>
        <w:jc w:val="both"/>
        <w:rPr>
          <w:rFonts w:ascii="Times New Roman" w:eastAsia="Times New Roman" w:hAnsi="Times New Roman" w:cs="Times New Roman"/>
          <w:color w:val="1F3864"/>
          <w:sz w:val="40"/>
          <w:szCs w:val="40"/>
        </w:rPr>
      </w:pPr>
    </w:p>
    <w:p w:rsidR="00BA58D7" w:rsidRDefault="00BA58D7">
      <w:pPr>
        <w:spacing w:before="240" w:line="360" w:lineRule="auto"/>
        <w:jc w:val="both"/>
        <w:rPr>
          <w:rFonts w:ascii="Times New Roman" w:eastAsia="Times New Roman" w:hAnsi="Times New Roman" w:cs="Times New Roman"/>
          <w:color w:val="1F3864"/>
          <w:sz w:val="40"/>
          <w:szCs w:val="40"/>
        </w:rPr>
      </w:pPr>
    </w:p>
    <w:p w:rsidR="00BA58D7" w:rsidRDefault="00BA58D7">
      <w:pPr>
        <w:spacing w:before="240" w:line="360" w:lineRule="auto"/>
        <w:jc w:val="both"/>
        <w:rPr>
          <w:rFonts w:ascii="Times New Roman" w:eastAsia="Times New Roman" w:hAnsi="Times New Roman" w:cs="Times New Roman"/>
          <w:color w:val="1F3864"/>
          <w:sz w:val="40"/>
          <w:szCs w:val="40"/>
        </w:rPr>
      </w:pPr>
    </w:p>
    <w:p w:rsidR="00BA58D7" w:rsidRDefault="00BA58D7">
      <w:pPr>
        <w:spacing w:before="240" w:line="360" w:lineRule="auto"/>
        <w:jc w:val="both"/>
        <w:rPr>
          <w:rFonts w:ascii="Times New Roman" w:eastAsia="Times New Roman" w:hAnsi="Times New Roman" w:cs="Times New Roman"/>
          <w:color w:val="1F3864"/>
          <w:sz w:val="40"/>
          <w:szCs w:val="40"/>
        </w:rPr>
      </w:pPr>
    </w:p>
    <w:p w:rsidR="00BA58D7" w:rsidRDefault="00BA58D7">
      <w:pPr>
        <w:spacing w:before="240" w:line="360" w:lineRule="auto"/>
        <w:jc w:val="both"/>
        <w:rPr>
          <w:rFonts w:ascii="Times New Roman" w:eastAsia="Times New Roman" w:hAnsi="Times New Roman" w:cs="Times New Roman"/>
          <w:color w:val="1F3864"/>
          <w:sz w:val="40"/>
          <w:szCs w:val="40"/>
        </w:rPr>
      </w:pPr>
    </w:p>
    <w:p w:rsidR="00BA58D7" w:rsidRDefault="00BA58D7">
      <w:pPr>
        <w:spacing w:before="240" w:line="360" w:lineRule="auto"/>
        <w:jc w:val="both"/>
        <w:rPr>
          <w:rFonts w:ascii="Times New Roman" w:eastAsia="Times New Roman" w:hAnsi="Times New Roman" w:cs="Times New Roman"/>
          <w:color w:val="1F3864"/>
          <w:sz w:val="40"/>
          <w:szCs w:val="40"/>
        </w:rPr>
      </w:pPr>
    </w:p>
    <w:p w:rsidR="00BA58D7" w:rsidRDefault="00322B40">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page">
              <wp:posOffset>-2133599</wp:posOffset>
            </wp:positionH>
            <wp:positionV relativeFrom="page">
              <wp:posOffset>-1226184</wp:posOffset>
            </wp:positionV>
            <wp:extent cx="10220215" cy="14454202"/>
            <wp:effectExtent l="0" t="0" r="0" b="0"/>
            <wp:wrapNone/>
            <wp:docPr id="198741042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BA58D7" w:rsidRDefault="00322B40">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INTRODUCTION OF</w:t>
      </w:r>
      <w:r>
        <w:rPr>
          <w:color w:val="000000"/>
        </w:rPr>
        <w:t xml:space="preserve"> </w:t>
      </w:r>
      <w:r>
        <w:rPr>
          <w:rFonts w:ascii="Libre Franklin" w:eastAsia="Libre Franklin" w:hAnsi="Libre Franklin" w:cs="Libre Franklin"/>
          <w:b/>
          <w:color w:val="1F3864"/>
          <w:sz w:val="24"/>
          <w:szCs w:val="24"/>
        </w:rPr>
        <w:t>U.S. SPECIALTY GENERICS MARKET</w:t>
      </w:r>
    </w:p>
    <w:p w:rsidR="00BA58D7" w:rsidRDefault="00BA58D7">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BA58D7" w:rsidRDefault="00322B40">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BA58D7" w:rsidRDefault="00322B40">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BA58D7" w:rsidRDefault="00322B40">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BA58D7" w:rsidRDefault="00322B40">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BA58D7" w:rsidRDefault="00322B40">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BA58D7" w:rsidRDefault="00322B4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BA58D7" w:rsidRDefault="00322B4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BA58D7" w:rsidRDefault="00322B4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BA58D7" w:rsidRDefault="00322B4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BA58D7" w:rsidRDefault="00322B40">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U.S. SPECIALTY GENERICS MARKET</w:t>
      </w:r>
      <w:r>
        <w:rPr>
          <w:rFonts w:ascii="Libre Franklin" w:eastAsia="Libre Franklin" w:hAnsi="Libre Franklin" w:cs="Libre Franklin"/>
          <w:b/>
          <w:color w:val="002060"/>
          <w:sz w:val="24"/>
          <w:szCs w:val="24"/>
        </w:rPr>
        <w:t xml:space="preserve"> OUTLOOK</w:t>
      </w:r>
    </w:p>
    <w:p w:rsidR="00BA58D7" w:rsidRDefault="00BA58D7">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BA58D7" w:rsidRDefault="00322B4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BA58D7" w:rsidRDefault="00322B4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BA58D7" w:rsidRDefault="00322B40">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BA58D7" w:rsidRDefault="00322B40">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BA58D7" w:rsidRDefault="00322B40">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BA58D7" w:rsidRDefault="00322B40">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BA58D7" w:rsidRDefault="00322B40">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BA58D7" w:rsidRDefault="00322B40">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BA58D7" w:rsidRDefault="00BA58D7">
      <w:pPr>
        <w:spacing w:line="360" w:lineRule="auto"/>
        <w:rPr>
          <w:rFonts w:ascii="Libre Franklin" w:eastAsia="Libre Franklin" w:hAnsi="Libre Franklin" w:cs="Libre Franklin"/>
          <w:b/>
          <w:color w:val="002060"/>
          <w:sz w:val="24"/>
          <w:szCs w:val="24"/>
        </w:rPr>
      </w:pPr>
    </w:p>
    <w:p w:rsidR="00BA58D7" w:rsidRDefault="00322B40">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lastRenderedPageBreak/>
        <w:t xml:space="preserve">5 </w:t>
      </w:r>
      <w:r>
        <w:rPr>
          <w:rFonts w:ascii="Libre Franklin" w:eastAsia="Libre Franklin" w:hAnsi="Libre Franklin" w:cs="Libre Franklin"/>
          <w:b/>
          <w:color w:val="1F3864"/>
          <w:sz w:val="24"/>
          <w:szCs w:val="24"/>
        </w:rPr>
        <w:t>U.S. SPECIALTY GENERICS MARKET, BY DRUG TYPE</w:t>
      </w:r>
    </w:p>
    <w:p w:rsidR="00BA58D7" w:rsidRDefault="00322B40">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5.1 Overview </w:t>
      </w:r>
    </w:p>
    <w:p w:rsidR="00BA58D7" w:rsidRDefault="00322B40">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4384" behindDoc="1" locked="0" layoutInCell="1" hidden="0" allowOverlap="1">
            <wp:simplePos x="0" y="0"/>
            <wp:positionH relativeFrom="page">
              <wp:align>right</wp:align>
            </wp:positionH>
            <wp:positionV relativeFrom="page">
              <wp:align>top</wp:align>
            </wp:positionV>
            <wp:extent cx="10220215" cy="14454202"/>
            <wp:effectExtent l="0" t="0" r="0" b="0"/>
            <wp:wrapNone/>
            <wp:docPr id="198741042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5.2</w:t>
      </w:r>
      <w:r>
        <w:rPr>
          <w:color w:val="000000"/>
        </w:rPr>
        <w:t xml:space="preserve"> </w:t>
      </w:r>
      <w:r>
        <w:rPr>
          <w:rFonts w:ascii="Libre Franklin" w:eastAsia="Libre Franklin" w:hAnsi="Libre Franklin" w:cs="Libre Franklin"/>
          <w:color w:val="002060"/>
          <w:sz w:val="24"/>
          <w:szCs w:val="24"/>
        </w:rPr>
        <w:t>Injectable Specialty Generics</w:t>
      </w:r>
    </w:p>
    <w:p w:rsidR="00BA58D7" w:rsidRDefault="00322B40">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5.3</w:t>
      </w:r>
      <w:r>
        <w:rPr>
          <w:color w:val="000000"/>
        </w:rPr>
        <w:t xml:space="preserve"> </w:t>
      </w:r>
      <w:r>
        <w:rPr>
          <w:rFonts w:ascii="Libre Franklin" w:eastAsia="Libre Franklin" w:hAnsi="Libre Franklin" w:cs="Libre Franklin"/>
          <w:color w:val="002060"/>
          <w:sz w:val="24"/>
          <w:szCs w:val="24"/>
        </w:rPr>
        <w:t>Oral Solids</w:t>
      </w:r>
    </w:p>
    <w:p w:rsidR="00BA58D7" w:rsidRDefault="00322B40">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Inhalable Drugs</w:t>
      </w:r>
    </w:p>
    <w:p w:rsidR="00BA58D7" w:rsidRDefault="00322B40">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5.5 Ophthalmic Products</w:t>
      </w:r>
    </w:p>
    <w:p w:rsidR="00BA58D7" w:rsidRDefault="00322B40">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5.6 Topical Formulations</w:t>
      </w:r>
    </w:p>
    <w:p w:rsidR="00BA58D7" w:rsidRDefault="00322B40">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5.7 Transdermal Patches</w:t>
      </w:r>
    </w:p>
    <w:p w:rsidR="00BA58D7" w:rsidRDefault="00322B40">
      <w:pPr>
        <w:pBdr>
          <w:top w:val="nil"/>
          <w:left w:val="nil"/>
          <w:bottom w:val="nil"/>
          <w:right w:val="nil"/>
          <w:between w:val="nil"/>
        </w:pBdr>
        <w:spacing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5.8 </w:t>
      </w:r>
      <w:proofErr w:type="spellStart"/>
      <w:r>
        <w:rPr>
          <w:rFonts w:ascii="Libre Franklin" w:eastAsia="Libre Franklin" w:hAnsi="Libre Franklin" w:cs="Libre Franklin"/>
          <w:color w:val="002060"/>
          <w:sz w:val="24"/>
          <w:szCs w:val="24"/>
        </w:rPr>
        <w:t>Biosimilars</w:t>
      </w:r>
      <w:proofErr w:type="spellEnd"/>
    </w:p>
    <w:p w:rsidR="00BA58D7" w:rsidRDefault="00322B40">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40"/>
          <w:szCs w:val="40"/>
        </w:rPr>
        <w:t>6</w:t>
      </w:r>
      <w:r>
        <w:rPr>
          <w:rFonts w:ascii="Libre Franklin" w:eastAsia="Libre Franklin" w:hAnsi="Libre Franklin" w:cs="Libre Franklin"/>
          <w:b/>
          <w:color w:val="1F3864"/>
          <w:sz w:val="24"/>
          <w:szCs w:val="24"/>
        </w:rPr>
        <w:t xml:space="preserve"> U.S. SPECIALTY GENERICS MARKET, BY THERAPEUTIC AREA</w:t>
      </w:r>
    </w:p>
    <w:p w:rsidR="00BA58D7" w:rsidRDefault="00322B40">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Oncology</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Autoimmune Diseases</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6.4 Neurology</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6.5 cardiovascular diseases</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6.6 Respiratory Disorders</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w:t>
      </w:r>
      <w:r>
        <w:rPr>
          <w:rFonts w:ascii="Libre Franklin" w:eastAsia="Libre Franklin" w:hAnsi="Libre Franklin" w:cs="Libre Franklin"/>
          <w:color w:val="002060"/>
          <w:sz w:val="24"/>
          <w:szCs w:val="24"/>
        </w:rPr>
        <w:t xml:space="preserve">     6.7 Endocrinology</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6.8 Infectious Diseases</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b/>
          <w:color w:val="002060"/>
          <w:sz w:val="40"/>
          <w:szCs w:val="40"/>
        </w:rPr>
        <w:lastRenderedPageBreak/>
        <w:t>7</w:t>
      </w:r>
      <w:r>
        <w:t xml:space="preserve"> </w:t>
      </w:r>
      <w:r>
        <w:rPr>
          <w:rFonts w:ascii="Libre Franklin" w:eastAsia="Libre Franklin" w:hAnsi="Libre Franklin" w:cs="Libre Franklin"/>
          <w:b/>
          <w:color w:val="1F3864"/>
          <w:sz w:val="24"/>
          <w:szCs w:val="24"/>
        </w:rPr>
        <w:t>U.S. SPECIALTY GENERICS MARKET</w:t>
      </w:r>
      <w:r>
        <w:rPr>
          <w:rFonts w:ascii="Libre Franklin" w:eastAsia="Libre Franklin" w:hAnsi="Libre Franklin" w:cs="Libre Franklin"/>
          <w:b/>
          <w:color w:val="002060"/>
          <w:sz w:val="24"/>
          <w:szCs w:val="24"/>
        </w:rPr>
        <w:t>, BY DISTRIBUTION CHANNEL</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7.1 Overview</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Hospital Pharmacies</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5408" behindDoc="1" locked="0" layoutInCell="1" hidden="0" allowOverlap="1">
            <wp:simplePos x="0" y="0"/>
            <wp:positionH relativeFrom="margin">
              <wp:align>center</wp:align>
            </wp:positionH>
            <wp:positionV relativeFrom="page">
              <wp:posOffset>-1744979</wp:posOffset>
            </wp:positionV>
            <wp:extent cx="10220215" cy="14454202"/>
            <wp:effectExtent l="0" t="0" r="0" b="0"/>
            <wp:wrapNone/>
            <wp:docPr id="198741042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         7.3 Retail Pharmacies</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7.4 Online Pharmacies</w:t>
      </w:r>
    </w:p>
    <w:p w:rsidR="00BA58D7" w:rsidRDefault="00322B4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7.5 Specialty Clinics &amp; Outpatient </w:t>
      </w:r>
      <w:proofErr w:type="spellStart"/>
      <w:r>
        <w:rPr>
          <w:rFonts w:ascii="Libre Franklin" w:eastAsia="Libre Franklin" w:hAnsi="Libre Franklin" w:cs="Libre Franklin"/>
          <w:color w:val="002060"/>
          <w:sz w:val="24"/>
          <w:szCs w:val="24"/>
        </w:rPr>
        <w:t>Centers</w:t>
      </w:r>
      <w:proofErr w:type="spellEnd"/>
    </w:p>
    <w:p w:rsidR="00BA58D7" w:rsidRDefault="00322B40">
      <w:pPr>
        <w:numPr>
          <w:ilvl w:val="0"/>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U.S. SPECIALTY GENERICS MARKET</w:t>
      </w:r>
      <w:r>
        <w:rPr>
          <w:rFonts w:ascii="Libre Franklin" w:eastAsia="Libre Franklin" w:hAnsi="Libre Franklin" w:cs="Libre Franklin"/>
          <w:b/>
          <w:color w:val="002060"/>
          <w:sz w:val="24"/>
          <w:szCs w:val="24"/>
        </w:rPr>
        <w:t>, BY END USER</w:t>
      </w:r>
    </w:p>
    <w:p w:rsidR="00BA58D7" w:rsidRDefault="00322B40">
      <w:pPr>
        <w:numPr>
          <w:ilvl w:val="1"/>
          <w:numId w:val="5"/>
        </w:numPr>
        <w:pBdr>
          <w:top w:val="nil"/>
          <w:left w:val="nil"/>
          <w:bottom w:val="nil"/>
          <w:right w:val="nil"/>
          <w:between w:val="nil"/>
        </w:pBdr>
        <w:spacing w:after="0" w:line="60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Hospitals</w:t>
      </w:r>
    </w:p>
    <w:p w:rsidR="00BA58D7" w:rsidRDefault="00322B40">
      <w:pPr>
        <w:numPr>
          <w:ilvl w:val="1"/>
          <w:numId w:val="5"/>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Specialty Clinics</w:t>
      </w:r>
    </w:p>
    <w:p w:rsidR="00BA58D7" w:rsidRDefault="00322B40">
      <w:pPr>
        <w:numPr>
          <w:ilvl w:val="1"/>
          <w:numId w:val="5"/>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Ambulatory Surgical </w:t>
      </w:r>
      <w:proofErr w:type="spellStart"/>
      <w:r>
        <w:rPr>
          <w:rFonts w:ascii="Libre Franklin" w:eastAsia="Libre Franklin" w:hAnsi="Libre Franklin" w:cs="Libre Franklin"/>
          <w:color w:val="002060"/>
          <w:sz w:val="24"/>
          <w:szCs w:val="24"/>
        </w:rPr>
        <w:t>Centers</w:t>
      </w:r>
      <w:proofErr w:type="spellEnd"/>
    </w:p>
    <w:p w:rsidR="00BA58D7" w:rsidRDefault="00322B40">
      <w:pPr>
        <w:numPr>
          <w:ilvl w:val="1"/>
          <w:numId w:val="5"/>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Homecare Settings</w:t>
      </w:r>
    </w:p>
    <w:p w:rsidR="00BA58D7" w:rsidRDefault="00322B40">
      <w:pPr>
        <w:numPr>
          <w:ilvl w:val="0"/>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U.S. SPECIALTY GENERICS MARKET</w:t>
      </w:r>
      <w:r>
        <w:rPr>
          <w:rFonts w:ascii="Libre Franklin" w:eastAsia="Libre Franklin" w:hAnsi="Libre Franklin" w:cs="Libre Franklin"/>
          <w:color w:val="002060"/>
          <w:sz w:val="24"/>
          <w:szCs w:val="24"/>
        </w:rPr>
        <w:t xml:space="preserve"> </w:t>
      </w:r>
      <w:r>
        <w:rPr>
          <w:rFonts w:ascii="Libre Franklin" w:eastAsia="Libre Franklin" w:hAnsi="Libre Franklin" w:cs="Libre Franklin"/>
          <w:b/>
          <w:color w:val="002060"/>
          <w:sz w:val="24"/>
          <w:szCs w:val="24"/>
        </w:rPr>
        <w:t>COMPETITIVE LANDSCAPE</w:t>
      </w:r>
    </w:p>
    <w:p w:rsidR="00BA58D7" w:rsidRDefault="00322B40">
      <w:pPr>
        <w:numPr>
          <w:ilvl w:val="1"/>
          <w:numId w:val="5"/>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BA58D7" w:rsidRDefault="00322B40">
      <w:pPr>
        <w:numPr>
          <w:ilvl w:val="1"/>
          <w:numId w:val="5"/>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BA58D7" w:rsidRDefault="00322B40">
      <w:pPr>
        <w:numPr>
          <w:ilvl w:val="1"/>
          <w:numId w:val="5"/>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BA58D7" w:rsidRDefault="00322B40">
      <w:pPr>
        <w:numPr>
          <w:ilvl w:val="0"/>
          <w:numId w:val="5"/>
        </w:numPr>
        <w:pBdr>
          <w:top w:val="nil"/>
          <w:left w:val="nil"/>
          <w:bottom w:val="nil"/>
          <w:right w:val="nil"/>
          <w:between w:val="nil"/>
        </w:pBdr>
        <w:tabs>
          <w:tab w:val="left" w:pos="1134"/>
        </w:tabs>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BA58D7" w:rsidRDefault="00322B40">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10.1 </w:t>
      </w:r>
      <w:proofErr w:type="spellStart"/>
      <w:r>
        <w:rPr>
          <w:rFonts w:ascii="Libre Franklin" w:eastAsia="Libre Franklin" w:hAnsi="Libre Franklin" w:cs="Libre Franklin"/>
          <w:b/>
          <w:color w:val="1F3864"/>
          <w:sz w:val="24"/>
          <w:szCs w:val="24"/>
        </w:rPr>
        <w:t>Teva</w:t>
      </w:r>
      <w:proofErr w:type="spellEnd"/>
      <w:r>
        <w:rPr>
          <w:rFonts w:ascii="Libre Franklin" w:eastAsia="Libre Franklin" w:hAnsi="Libre Franklin" w:cs="Libre Franklin"/>
          <w:b/>
          <w:color w:val="1F3864"/>
          <w:sz w:val="24"/>
          <w:szCs w:val="24"/>
        </w:rPr>
        <w:t xml:space="preserve"> Pharmaceuticals</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lastRenderedPageBreak/>
        <w:t>roduct</w:t>
      </w:r>
      <w:proofErr w:type="spellEnd"/>
      <w:r>
        <w:rPr>
          <w:rFonts w:ascii="Libre Franklin" w:eastAsia="Libre Franklin" w:hAnsi="Libre Franklin" w:cs="Libre Franklin"/>
          <w:color w:val="002060"/>
          <w:sz w:val="24"/>
          <w:szCs w:val="24"/>
        </w:rPr>
        <w:t xml:space="preserve"> Outlook</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Mylan</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-2705099</wp:posOffset>
            </wp:positionH>
            <wp:positionV relativeFrom="page">
              <wp:posOffset>-1480819</wp:posOffset>
            </wp:positionV>
            <wp:extent cx="10220215" cy="14454202"/>
            <wp:effectExtent l="0" t="0" r="0" b="0"/>
            <wp:wrapNone/>
            <wp:docPr id="198741041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Sandoz</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1F3864"/>
          <w:sz w:val="24"/>
          <w:szCs w:val="24"/>
        </w:rPr>
        <w:t>Amneal</w:t>
      </w:r>
      <w:proofErr w:type="spellEnd"/>
      <w:r>
        <w:rPr>
          <w:rFonts w:ascii="Libre Franklin" w:eastAsia="Libre Franklin" w:hAnsi="Libre Franklin" w:cs="Libre Franklin"/>
          <w:b/>
          <w:color w:val="1F3864"/>
          <w:sz w:val="24"/>
          <w:szCs w:val="24"/>
        </w:rPr>
        <w:t xml:space="preserve"> Pharmaceuticals</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Endo International</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Sun Pharmaceutical Industries</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Fresenius </w:t>
      </w:r>
      <w:proofErr w:type="spellStart"/>
      <w:r>
        <w:rPr>
          <w:rFonts w:ascii="Libre Franklin" w:eastAsia="Libre Franklin" w:hAnsi="Libre Franklin" w:cs="Libre Franklin"/>
          <w:b/>
          <w:color w:val="1F3864"/>
          <w:sz w:val="24"/>
          <w:szCs w:val="24"/>
        </w:rPr>
        <w:t>Kabi</w:t>
      </w:r>
      <w:proofErr w:type="spellEnd"/>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-838199</wp:posOffset>
            </wp:positionH>
            <wp:positionV relativeFrom="margin">
              <wp:align>center</wp:align>
            </wp:positionV>
            <wp:extent cx="10220215" cy="14454202"/>
            <wp:effectExtent l="0" t="0" r="0" b="0"/>
            <wp:wrapNone/>
            <wp:docPr id="198741043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24"/>
          <w:szCs w:val="24"/>
        </w:rPr>
        <w:t xml:space="preserve"> Pfizer</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Baxter International</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tabs>
          <w:tab w:val="left" w:pos="1418"/>
          <w:tab w:val="left" w:pos="1560"/>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1F3864"/>
          <w:sz w:val="24"/>
          <w:szCs w:val="24"/>
        </w:rPr>
        <w:t>Cipla</w:t>
      </w:r>
      <w:proofErr w:type="spellEnd"/>
      <w:r>
        <w:rPr>
          <w:rFonts w:ascii="Libre Franklin" w:eastAsia="Libre Franklin" w:hAnsi="Libre Franklin" w:cs="Libre Franklin"/>
          <w:b/>
          <w:color w:val="1F3864"/>
          <w:sz w:val="24"/>
          <w:szCs w:val="24"/>
        </w:rPr>
        <w:t xml:space="preserve"> USA</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tabs>
          <w:tab w:val="left" w:pos="1418"/>
          <w:tab w:val="left" w:pos="1560"/>
        </w:tabs>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lastRenderedPageBreak/>
        <w:t>Hikma</w:t>
      </w:r>
      <w:proofErr w:type="spellEnd"/>
      <w:r>
        <w:rPr>
          <w:rFonts w:ascii="Libre Franklin" w:eastAsia="Libre Franklin" w:hAnsi="Libre Franklin" w:cs="Libre Franklin"/>
          <w:b/>
          <w:color w:val="002060"/>
          <w:sz w:val="24"/>
          <w:szCs w:val="24"/>
        </w:rPr>
        <w:t xml:space="preserve"> Pharmaceuticals</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tabs>
          <w:tab w:val="left" w:pos="1418"/>
          <w:tab w:val="left" w:pos="1560"/>
          <w:tab w:val="left" w:pos="1701"/>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Teligent</w:t>
      </w:r>
      <w:proofErr w:type="spellEnd"/>
      <w:r>
        <w:rPr>
          <w:rFonts w:ascii="Libre Franklin" w:eastAsia="Libre Franklin" w:hAnsi="Libre Franklin" w:cs="Libre Franklin"/>
          <w:b/>
          <w:color w:val="002060"/>
          <w:sz w:val="24"/>
          <w:szCs w:val="24"/>
        </w:rPr>
        <w:t>, Inc.</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tabs>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-1943099</wp:posOffset>
            </wp:positionH>
            <wp:positionV relativeFrom="page">
              <wp:posOffset>-2466339</wp:posOffset>
            </wp:positionV>
            <wp:extent cx="10220215" cy="14454202"/>
            <wp:effectExtent l="0" t="0" r="0" b="0"/>
            <wp:wrapNone/>
            <wp:docPr id="198741042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Granules Pharmaceuticals USA</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tabs>
          <w:tab w:val="left" w:pos="1418"/>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Epic Pharma, LLC</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1"/>
          <w:numId w:val="5"/>
        </w:numPr>
        <w:pBdr>
          <w:top w:val="nil"/>
          <w:left w:val="nil"/>
          <w:bottom w:val="nil"/>
          <w:right w:val="nil"/>
          <w:between w:val="nil"/>
        </w:pBdr>
        <w:tabs>
          <w:tab w:val="left" w:pos="1560"/>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Breckenridge Pharmaceutical, </w:t>
      </w:r>
      <w:proofErr w:type="spellStart"/>
      <w:r>
        <w:rPr>
          <w:rFonts w:ascii="Libre Franklin" w:eastAsia="Libre Franklin" w:hAnsi="Libre Franklin" w:cs="Libre Franklin"/>
          <w:b/>
          <w:color w:val="002060"/>
          <w:sz w:val="24"/>
          <w:szCs w:val="24"/>
        </w:rPr>
        <w:t>Inc</w:t>
      </w:r>
      <w:proofErr w:type="spellEnd"/>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BA58D7" w:rsidRDefault="00322B40">
      <w:pPr>
        <w:numPr>
          <w:ilvl w:val="1"/>
          <w:numId w:val="5"/>
        </w:numPr>
        <w:pBdr>
          <w:top w:val="nil"/>
          <w:left w:val="nil"/>
          <w:bottom w:val="nil"/>
          <w:right w:val="nil"/>
          <w:between w:val="nil"/>
        </w:pBdr>
        <w:tabs>
          <w:tab w:val="left" w:pos="1560"/>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Camber Pharmaceuticals</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BA58D7" w:rsidRDefault="00322B40">
      <w:pPr>
        <w:numPr>
          <w:ilvl w:val="2"/>
          <w:numId w:val="5"/>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BA58D7" w:rsidRDefault="00322B40">
      <w:pPr>
        <w:numPr>
          <w:ilvl w:val="0"/>
          <w:numId w:val="5"/>
        </w:numPr>
        <w:pBdr>
          <w:top w:val="nil"/>
          <w:left w:val="nil"/>
          <w:bottom w:val="nil"/>
          <w:right w:val="nil"/>
          <w:between w:val="nil"/>
        </w:pBdr>
        <w:tabs>
          <w:tab w:val="left" w:pos="1134"/>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BA58D7" w:rsidRDefault="00322B40">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BA58D7" w:rsidRDefault="00322B40">
      <w:pPr>
        <w:numPr>
          <w:ilvl w:val="0"/>
          <w:numId w:val="5"/>
        </w:numPr>
        <w:pBdr>
          <w:top w:val="nil"/>
          <w:left w:val="nil"/>
          <w:bottom w:val="nil"/>
          <w:right w:val="nil"/>
          <w:between w:val="nil"/>
        </w:pBdr>
        <w:tabs>
          <w:tab w:val="left" w:pos="993"/>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9504" behindDoc="1" locked="0" layoutInCell="1" hidden="0" allowOverlap="1">
            <wp:simplePos x="0" y="0"/>
            <wp:positionH relativeFrom="page">
              <wp:align>right</wp:align>
            </wp:positionH>
            <wp:positionV relativeFrom="page">
              <wp:posOffset>-2809874</wp:posOffset>
            </wp:positionV>
            <wp:extent cx="10220215" cy="14454202"/>
            <wp:effectExtent l="0" t="0" r="0" b="0"/>
            <wp:wrapNone/>
            <wp:docPr id="198741042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Appendix</w:t>
      </w:r>
    </w:p>
    <w:p w:rsidR="00BA58D7" w:rsidRDefault="00322B40">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12.1 Related Research</w:t>
      </w:r>
    </w:p>
    <w:p w:rsidR="00BA58D7" w:rsidRDefault="00BA58D7"/>
    <w:p w:rsidR="00BA58D7" w:rsidRDefault="00BA58D7"/>
    <w:p w:rsidR="00BA58D7" w:rsidRDefault="00BA58D7"/>
    <w:p w:rsidR="00BA58D7" w:rsidRDefault="00BA58D7"/>
    <w:p w:rsidR="00BA58D7" w:rsidRDefault="00BA58D7"/>
    <w:p w:rsidR="00BA58D7" w:rsidRDefault="00BA58D7"/>
    <w:p w:rsidR="00BA58D7" w:rsidRDefault="00BA58D7"/>
    <w:p w:rsidR="00BA58D7" w:rsidRDefault="00BA58D7"/>
    <w:p w:rsidR="00BA58D7" w:rsidRDefault="00BA58D7"/>
    <w:p w:rsidR="00BA58D7" w:rsidRDefault="00BA58D7"/>
    <w:p w:rsidR="00BA58D7" w:rsidRDefault="00BA58D7"/>
    <w:sectPr w:rsidR="00BA58D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2C39"/>
    <w:multiLevelType w:val="multilevel"/>
    <w:tmpl w:val="71320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072074"/>
    <w:multiLevelType w:val="multilevel"/>
    <w:tmpl w:val="4E28CC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AB764A"/>
    <w:multiLevelType w:val="multilevel"/>
    <w:tmpl w:val="7F9AC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C24AC0"/>
    <w:multiLevelType w:val="multilevel"/>
    <w:tmpl w:val="EBF23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8C1A25"/>
    <w:multiLevelType w:val="multilevel"/>
    <w:tmpl w:val="5EF8DE66"/>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5" w15:restartNumberingAfterBreak="0">
    <w:nsid w:val="3D3C6E5E"/>
    <w:multiLevelType w:val="multilevel"/>
    <w:tmpl w:val="D4F0A7A2"/>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6" w15:restartNumberingAfterBreak="0">
    <w:nsid w:val="6C8E4775"/>
    <w:multiLevelType w:val="multilevel"/>
    <w:tmpl w:val="28165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6"/>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D7"/>
    <w:rsid w:val="00322B40"/>
    <w:rsid w:val="00BA5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9021"/>
  <w15:docId w15:val="{04AFD554-1D24-4D5C-AD2C-890E85E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B83"/>
  </w:style>
  <w:style w:type="paragraph" w:styleId="Heading1">
    <w:name w:val="heading 1"/>
    <w:basedOn w:val="Normal"/>
    <w:next w:val="Normal"/>
    <w:link w:val="Heading1Char"/>
    <w:uiPriority w:val="9"/>
    <w:qFormat/>
    <w:rsid w:val="000A5B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B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B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B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B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B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B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B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B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B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B83"/>
    <w:rPr>
      <w:rFonts w:eastAsiaTheme="majorEastAsia" w:cstheme="majorBidi"/>
      <w:color w:val="272727" w:themeColor="text1" w:themeTint="D8"/>
    </w:rPr>
  </w:style>
  <w:style w:type="character" w:customStyle="1" w:styleId="TitleChar">
    <w:name w:val="Title Char"/>
    <w:basedOn w:val="DefaultParagraphFont"/>
    <w:link w:val="Title"/>
    <w:uiPriority w:val="10"/>
    <w:rsid w:val="000A5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0A5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B83"/>
    <w:pPr>
      <w:spacing w:before="160"/>
      <w:jc w:val="center"/>
    </w:pPr>
    <w:rPr>
      <w:i/>
      <w:iCs/>
      <w:color w:val="404040" w:themeColor="text1" w:themeTint="BF"/>
    </w:rPr>
  </w:style>
  <w:style w:type="character" w:customStyle="1" w:styleId="QuoteChar">
    <w:name w:val="Quote Char"/>
    <w:basedOn w:val="DefaultParagraphFont"/>
    <w:link w:val="Quote"/>
    <w:uiPriority w:val="29"/>
    <w:rsid w:val="000A5B83"/>
    <w:rPr>
      <w:i/>
      <w:iCs/>
      <w:color w:val="404040" w:themeColor="text1" w:themeTint="BF"/>
    </w:rPr>
  </w:style>
  <w:style w:type="paragraph" w:styleId="ListParagraph">
    <w:name w:val="List Paragraph"/>
    <w:aliases w:val="Lists,MnM Disclaimer,list 1"/>
    <w:basedOn w:val="Normal"/>
    <w:link w:val="ListParagraphChar"/>
    <w:uiPriority w:val="34"/>
    <w:qFormat/>
    <w:rsid w:val="000A5B83"/>
    <w:pPr>
      <w:ind w:left="720"/>
      <w:contextualSpacing/>
    </w:pPr>
  </w:style>
  <w:style w:type="character" w:styleId="IntenseEmphasis">
    <w:name w:val="Intense Emphasis"/>
    <w:basedOn w:val="DefaultParagraphFont"/>
    <w:uiPriority w:val="21"/>
    <w:qFormat/>
    <w:rsid w:val="000A5B83"/>
    <w:rPr>
      <w:i/>
      <w:iCs/>
      <w:color w:val="2F5496" w:themeColor="accent1" w:themeShade="BF"/>
    </w:rPr>
  </w:style>
  <w:style w:type="paragraph" w:styleId="IntenseQuote">
    <w:name w:val="Intense Quote"/>
    <w:basedOn w:val="Normal"/>
    <w:next w:val="Normal"/>
    <w:link w:val="IntenseQuoteChar"/>
    <w:uiPriority w:val="30"/>
    <w:qFormat/>
    <w:rsid w:val="000A5B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B83"/>
    <w:rPr>
      <w:i/>
      <w:iCs/>
      <w:color w:val="2F5496" w:themeColor="accent1" w:themeShade="BF"/>
    </w:rPr>
  </w:style>
  <w:style w:type="character" w:styleId="IntenseReference">
    <w:name w:val="Intense Reference"/>
    <w:basedOn w:val="DefaultParagraphFont"/>
    <w:uiPriority w:val="32"/>
    <w:qFormat/>
    <w:rsid w:val="000A5B83"/>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0A5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X/gkcZkKSx+tMzBIY5t7at1dgw==">CgMxLjAyDmguY2k3dG16NXB5eW1zMg5oLjhqampuZ28yYnlwcTgAciExRHQ4cUY0WGNtQWdjcWxGSnFtRzJmUl91cHZXUnpucHg=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2025-04-26T06:44:00Z</dcterms:created>
  <dcterms:modified xsi:type="dcterms:W3CDTF">2025-05-09T08:27:00Z</dcterms:modified>
</cp:coreProperties>
</file>