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100"/>
      </w:pPr>
      <w:r>
        <w:rPr>
          <w:rFonts w:ascii="Calibri" w:cs="Calibri" w:eastAsia="Calibri" w:hAnsi="Calibri"/>
          <w:b/>
          <w:bCs/>
          <w:color w:val="00A896"/>
          <w:spacing w:val="40"/>
          <w:sz w:val="20"/>
          <w:szCs w:val="20"/>
        </w:rPr>
        <w:t xml:space="preserve">STARTUP CONNECT AI</w:t>
      </w:r>
    </w:p>
    <w:p>
      <w:pPr>
        <w:spacing w:after="160"/>
      </w:pPr>
      <w:r>
        <w:rPr>
          <w:rFonts w:ascii="Georgia" w:cs="Georgia" w:eastAsia="Georgia" w:hAnsi="Georgia"/>
          <w:b/>
          <w:bCs/>
          <w:color w:val="0B2027"/>
          <w:sz w:val="56"/>
          <w:szCs w:val="56"/>
        </w:rPr>
        <w:t xml:space="preserve">Deep Research Report</w:t>
      </w:r>
    </w:p>
    <w:p>
      <w:pPr>
        <w:spacing w:after="400"/>
      </w:pPr>
      <w:r>
        <w:rPr>
          <w:rFonts w:ascii="Calibri" w:cs="Calibri" w:eastAsia="Calibri" w:hAnsi="Calibri"/>
          <w:color w:val="5C7A78"/>
          <w:sz w:val="26"/>
          <w:szCs w:val="26"/>
        </w:rPr>
        <w:t xml:space="preserve">Landscape analysis, literature review, and design decisions for an AI-driven mentor &amp; investor recommendation platform</w:t>
      </w:r>
    </w:p>
    <w:p>
      <w:pPr>
        <w:pBdr>
          <w:top w:val="single" w:color="02C39A" w:sz="12" w:space="6"/>
        </w:pBdr>
        <w:spacing w:after="60"/>
      </w:pPr>
      <w:r>
        <w:t xml:space="preserve"/>
      </w:r>
    </w:p>
    <w:p>
      <w:pPr>
        <w:spacing w:after="40"/>
      </w:pPr>
      <w:r>
        <w:rPr>
          <w:rFonts w:ascii="Calibri" w:cs="Calibri" w:eastAsia="Calibri" w:hAnsi="Calibri"/>
          <w:b/>
          <w:bCs/>
          <w:color w:val="0B2027"/>
          <w:sz w:val="22"/>
          <w:szCs w:val="22"/>
        </w:rPr>
        <w:t xml:space="preserve">Prepared by: Durgesh</w:t>
      </w:r>
    </w:p>
    <w:p>
      <w:pPr>
        <w:spacing w:after="40"/>
      </w:pPr>
      <w:r>
        <w:rPr>
          <w:rFonts w:ascii="Calibri" w:cs="Calibri" w:eastAsia="Calibri" w:hAnsi="Calibri"/>
          <w:b w:val="false"/>
          <w:bCs w:val="false"/>
          <w:color w:val="5C7A78"/>
          <w:sz w:val="20"/>
          <w:szCs w:val="20"/>
        </w:rPr>
        <w:t xml:space="preserve">B.E. Information Technology, SPPU  •  2027 Batch</w:t>
      </w:r>
    </w:p>
    <w:p>
      <w:pPr>
        <w:spacing w:after="40"/>
      </w:pPr>
      <w:r>
        <w:rPr>
          <w:rFonts w:ascii="Calibri" w:cs="Calibri" w:eastAsia="Calibri" w:hAnsi="Calibri"/>
          <w:b w:val="false"/>
          <w:bCs w:val="false"/>
          <w:color w:val="5C7A78"/>
          <w:sz w:val="20"/>
          <w:szCs w:val="20"/>
        </w:rPr>
        <w:t xml:space="preserve">Document 1 of 3  —  followed by Business Architecture &amp; Wardley Mapping</w:t>
      </w:r>
    </w:p>
    <w:p>
      <w:r>
        <w:br w:type="page"/>
      </w:r>
    </w:p>
    <w:p>
      <w:pPr>
        <w:pStyle w:val="Heading1"/>
        <w:spacing w:after="200" w:before="360"/>
      </w:pPr>
      <w:r>
        <w:rPr>
          <w:rFonts w:ascii="Georgia" w:cs="Georgia" w:eastAsia="Georgia" w:hAnsi="Georgia"/>
          <w:b/>
          <w:bCs/>
          <w:color w:val="0B2027"/>
          <w:sz w:val="34"/>
          <w:szCs w:val="34"/>
        </w:rPr>
        <w:t xml:space="preserve">Table of Contents</w:t>
      </w:r>
    </w:p>
    <w:tbl>
      <w:tblPr>
        <w:tblW w:type="dxa" w:w="9600"/>
        <w:tblBorders>
          <w:top w:val="none"/>
          <w:left w:val="none"/>
          <w:bottom w:val="none"/>
          <w:right w:val="none"/>
          <w:insideH w:val="single" w:color="E3EFEE" w:sz="4"/>
          <w:insideV w:val="none"/>
        </w:tblBorders>
      </w:tblPr>
      <w:tblGrid>
        <w:gridCol w:w="700"/>
        <w:gridCol w:w="7500"/>
        <w:gridCol w:w="1400"/>
      </w:tblGrid>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1</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Executive Summary</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3</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2</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Research Methodology &amp; Framework</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3</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3</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Problem Landscape</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4</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4</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Market Landscape</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5</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5</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Competitor Analysis</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6</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6</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Regulatory &amp; Compliance Landscape</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7</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7</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Reference Papers — Detailed Table</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8</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8</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Key Research Findings</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10</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9</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Design Decisions</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11</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10</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Open Questions &amp; Risks</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12</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11</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References</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13</w:t>
            </w:r>
          </w:p>
        </w:tc>
      </w:tr>
    </w:tbl>
    <w:p>
      <w:r>
        <w:br w:type="page"/>
      </w:r>
    </w:p>
    <w:p>
      <w:pPr>
        <w:pStyle w:val="Heading1"/>
        <w:spacing w:after="200" w:before="360"/>
      </w:pPr>
      <w:r>
        <w:rPr>
          <w:rFonts w:ascii="Georgia" w:cs="Georgia" w:eastAsia="Georgia" w:hAnsi="Georgia"/>
          <w:b/>
          <w:bCs/>
          <w:color w:val="0B2027"/>
          <w:sz w:val="34"/>
          <w:szCs w:val="34"/>
        </w:rPr>
        <w:t xml:space="preserve">1. Executive Summary</w:t>
      </w:r>
    </w:p>
    <w:p>
      <w:pPr>
        <w:spacing w:after="120"/>
      </w:pPr>
      <w:r>
        <w:rPr>
          <w:rFonts w:ascii="Calibri" w:cs="Calibri" w:eastAsia="Calibri" w:hAnsi="Calibri"/>
          <w:b w:val="false"/>
          <w:bCs w:val="false"/>
          <w:color w:val="0B2027"/>
          <w:sz w:val="22"/>
          <w:szCs w:val="22"/>
        </w:rPr>
        <w:t xml:space="preserve">Startup Connect AI is a two-sided, AI-driven platform that matches early-stage founders with the right mentors and investors using structured profiling, semantic embeddings, and a hybrid recommendation engine with explainable outputs. This report captures the deep research phase — literature review, market landscape, competitor analysis, regulatory scan, and the design decisions those inputs justify.</w:t>
      </w:r>
    </w:p>
    <w:p>
      <w:pPr>
        <w:spacing w:after="100" w:before="160"/>
      </w:pPr>
      <w:r>
        <w:rPr>
          <w:rFonts w:ascii="Calibri" w:cs="Calibri" w:eastAsia="Calibri" w:hAnsi="Calibri"/>
          <w:b/>
          <w:bCs/>
          <w:color w:val="0B2027"/>
          <w:sz w:val="22"/>
          <w:szCs w:val="22"/>
        </w:rPr>
        <w:t xml:space="preserve">Key headlines from the research:</w:t>
      </w:r>
    </w:p>
    <w:p>
      <w:pPr>
        <w:pStyle w:val="ListParagraph"/>
        <w:numPr>
          <w:ilvl w:val="0"/>
          <w:numId w:val="2"/>
        </w:numPr>
        <w:spacing w:after="100"/>
      </w:pPr>
      <w:r>
        <w:rPr>
          <w:rFonts w:ascii="Calibri" w:cs="Calibri" w:eastAsia="Calibri" w:hAnsi="Calibri"/>
          <w:b w:val="false"/>
          <w:bCs w:val="false"/>
          <w:color w:val="0B2027"/>
          <w:sz w:val="22"/>
          <w:szCs w:val="22"/>
        </w:rPr>
        <w:t xml:space="preserve">India's startup ecosystem raised approximately USD 10.5–11 billion in 2025 across 1,518 deals; deal count fell ~39% year-on-year, meaning matching quality now matters more than volume.</w:t>
      </w:r>
    </w:p>
    <w:p>
      <w:pPr>
        <w:pStyle w:val="ListParagraph"/>
        <w:numPr>
          <w:ilvl w:val="0"/>
          <w:numId w:val="2"/>
        </w:numPr>
        <w:spacing w:after="100"/>
      </w:pPr>
      <w:r>
        <w:rPr>
          <w:rFonts w:ascii="Calibri" w:cs="Calibri" w:eastAsia="Calibri" w:hAnsi="Calibri"/>
          <w:b w:val="false"/>
          <w:bCs w:val="false"/>
          <w:color w:val="0B2027"/>
          <w:sz w:val="22"/>
          <w:szCs w:val="22"/>
        </w:rPr>
        <w:t xml:space="preserve">Seed-stage funding fell 30% in 2025, making cold-start founder discovery a real, unsolved problem for the exact segment we serve.</w:t>
      </w:r>
    </w:p>
    <w:p>
      <w:pPr>
        <w:pStyle w:val="ListParagraph"/>
        <w:numPr>
          <w:ilvl w:val="0"/>
          <w:numId w:val="2"/>
        </w:numPr>
        <w:spacing w:after="100"/>
      </w:pPr>
      <w:r>
        <w:rPr>
          <w:rFonts w:ascii="Calibri" w:cs="Calibri" w:eastAsia="Calibri" w:hAnsi="Calibri"/>
          <w:b w:val="false"/>
          <w:bCs w:val="false"/>
          <w:color w:val="0B2027"/>
          <w:sz w:val="22"/>
          <w:szCs w:val="22"/>
        </w:rPr>
        <w:t xml:space="preserve">The recommender systems field has shifted decisively toward LLM- and RAG-augmented hybrids between 2023 and 2026, per a systematic review of 138 papers — validating our architectural direction.</w:t>
      </w:r>
    </w:p>
    <w:p>
      <w:pPr>
        <w:pStyle w:val="ListParagraph"/>
        <w:numPr>
          <w:ilvl w:val="0"/>
          <w:numId w:val="2"/>
        </w:numPr>
        <w:spacing w:after="100"/>
      </w:pPr>
      <w:r>
        <w:rPr>
          <w:rFonts w:ascii="Calibri" w:cs="Calibri" w:eastAsia="Calibri" w:hAnsi="Calibri"/>
          <w:b w:val="false"/>
          <w:bCs w:val="false"/>
          <w:color w:val="0B2027"/>
          <w:sz w:val="22"/>
          <w:szCs w:val="22"/>
        </w:rPr>
        <w:t xml:space="preserve">Explainability is no longer optional — J.P. Morgan AI Research shows it directly improves real-world adoption of investor-matching recommendations.</w:t>
      </w:r>
    </w:p>
    <w:p>
      <w:pPr>
        <w:pStyle w:val="ListParagraph"/>
        <w:numPr>
          <w:ilvl w:val="0"/>
          <w:numId w:val="2"/>
        </w:numPr>
        <w:spacing w:after="100"/>
      </w:pPr>
      <w:r>
        <w:rPr>
          <w:rFonts w:ascii="Calibri" w:cs="Calibri" w:eastAsia="Calibri" w:hAnsi="Calibri"/>
          <w:b w:val="false"/>
          <w:bCs w:val="false"/>
          <w:color w:val="0B2027"/>
          <w:sz w:val="22"/>
          <w:szCs w:val="22"/>
        </w:rPr>
        <w:t xml:space="preserve">Competitors (AngelList, LinkedIn, F6S, Startup India Hub, and India-first tools like Inflection Point Ventures' portal, Flowlie) treat this as a search problem, not a matching problem. That is the gap.</w:t>
      </w:r>
    </w:p>
    <w:p>
      <w:pPr>
        <w:pStyle w:val="Heading1"/>
        <w:spacing w:after="200" w:before="360"/>
      </w:pPr>
      <w:r>
        <w:rPr>
          <w:rFonts w:ascii="Georgia" w:cs="Georgia" w:eastAsia="Georgia" w:hAnsi="Georgia"/>
          <w:b/>
          <w:bCs/>
          <w:color w:val="0B2027"/>
          <w:sz w:val="34"/>
          <w:szCs w:val="34"/>
        </w:rPr>
        <w:t xml:space="preserve">2. Research Methodology &amp; Framework</w:t>
      </w:r>
    </w:p>
    <w:p>
      <w:pPr>
        <w:spacing w:after="120"/>
      </w:pPr>
      <w:r>
        <w:rPr>
          <w:rFonts w:ascii="Calibri" w:cs="Calibri" w:eastAsia="Calibri" w:hAnsi="Calibri"/>
          <w:b w:val="false"/>
          <w:bCs w:val="false"/>
          <w:color w:val="0B2027"/>
          <w:sz w:val="22"/>
          <w:szCs w:val="22"/>
        </w:rPr>
        <w:t xml:space="preserve">We followed a structured research framework adapted from the Lean Startup evidence-first model and the standard IEEE/ACM literature-review methodology:</w:t>
      </w:r>
    </w:p>
    <w:tbl>
      <w:tblPr>
        <w:tblW w:type="dxa" w:w="9600"/>
        <w:tblBorders>
          <w:top w:val="single" w:color="E3EFEE" w:sz="4"/>
          <w:left w:val="none"/>
          <w:bottom w:val="single" w:color="E3EFEE" w:sz="4"/>
          <w:right w:val="none"/>
          <w:insideH w:val="single" w:color="E3EFEE" w:sz="2"/>
          <w:insideV w:val="none"/>
        </w:tblBorders>
      </w:tblPr>
      <w:tblGrid>
        <w:gridCol w:w="2000"/>
        <w:gridCol w:w="4200"/>
        <w:gridCol w:w="3400"/>
      </w:tblGrid>
      <w:tr>
        <w:trPr>
          <w:tblHeader/>
        </w:trPr>
        <w:tc>
          <w:tcPr>
            <w:tcW w:type="dxa" w:w="20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Stage</w:t>
            </w:r>
          </w:p>
        </w:tc>
        <w:tc>
          <w:tcPr>
            <w:tcW w:type="dxa" w:w="42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Method</w:t>
            </w:r>
          </w:p>
        </w:tc>
        <w:tc>
          <w:tcPr>
            <w:tcW w:type="dxa" w:w="3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Output</w:t>
            </w:r>
          </w:p>
        </w:tc>
      </w:tr>
      <w:tr>
        <w:tc>
          <w:tcPr>
            <w:tcW w:type="dxa" w:w="2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1. Problem framing</w:t>
            </w:r>
          </w:p>
        </w:tc>
        <w:tc>
          <w:tcPr>
            <w:tcW w:type="dxa" w:w="4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Semi-structured problem statement, target user segmentation</w:t>
            </w:r>
          </w:p>
        </w:tc>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Sharp problem definition for early-stage Indian founders</w:t>
            </w:r>
          </w:p>
        </w:tc>
      </w:tr>
      <w:tr>
        <w:tc>
          <w:tcPr>
            <w:tcW w:type="dxa" w:w="2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2. Market scan</w:t>
            </w:r>
          </w:p>
        </w:tc>
        <w:tc>
          <w:tcPr>
            <w:tcW w:type="dxa" w:w="4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Nasscom, Zinnov, Crunchbase, TechCrunch, Tracxn secondary data (2024–2026)</w:t>
            </w:r>
          </w:p>
        </w:tc>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Ecosystem size, funding trends, segment identification</w:t>
            </w:r>
          </w:p>
        </w:tc>
      </w:tr>
      <w:tr>
        <w:tc>
          <w:tcPr>
            <w:tcW w:type="dxa" w:w="2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3. Competitor teardown</w:t>
            </w:r>
          </w:p>
        </w:tc>
        <w:tc>
          <w:tcPr>
            <w:tcW w:type="dxa" w:w="4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Feature-by-feature analysis of 6 platforms across capability dimensions</w:t>
            </w:r>
          </w:p>
        </w:tc>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Capability gap matrix</w:t>
            </w:r>
          </w:p>
        </w:tc>
      </w:tr>
      <w:tr>
        <w:tc>
          <w:tcPr>
            <w:tcW w:type="dxa" w:w="2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4. Regulatory scan</w:t>
            </w:r>
          </w:p>
        </w:tc>
        <w:tc>
          <w:tcPr>
            <w:tcW w:type="dxa" w:w="4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SEBI, DPDP Act 2023, MCA guidelines review</w:t>
            </w:r>
          </w:p>
        </w:tc>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Compliance requirements &amp; de-risking notes</w:t>
            </w:r>
          </w:p>
        </w:tc>
      </w:tr>
      <w:tr>
        <w:tc>
          <w:tcPr>
            <w:tcW w:type="dxa" w:w="2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5. Literature review</w:t>
            </w:r>
          </w:p>
        </w:tc>
        <w:tc>
          <w:tcPr>
            <w:tcW w:type="dxa" w:w="4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8 papers (6 published 2024–2026, 2 foundational pre-2024) across recommender systems, LLM agents, and explainable AI</w:t>
            </w:r>
          </w:p>
        </w:tc>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Design decision inputs, evaluation benchmarks</w:t>
            </w:r>
          </w:p>
        </w:tc>
      </w:tr>
      <w:tr>
        <w:tc>
          <w:tcPr>
            <w:tcW w:type="dxa" w:w="2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6. Synthesis</w:t>
            </w:r>
          </w:p>
        </w:tc>
        <w:tc>
          <w:tcPr>
            <w:tcW w:type="dxa" w:w="4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Cross-referenced findings against candidate architectural patterns</w:t>
            </w:r>
          </w:p>
        </w:tc>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Concrete design decisions with evidence trail</w:t>
            </w:r>
          </w:p>
        </w:tc>
      </w:tr>
    </w:tbl>
    <w:p>
      <w:pPr>
        <w:spacing w:before="140"/>
      </w:pPr>
      <w:r>
        <w:rPr>
          <w:rFonts w:ascii="Calibri" w:cs="Calibri" w:eastAsia="Calibri" w:hAnsi="Calibri"/>
          <w:b w:val="false"/>
          <w:bCs w:val="false"/>
          <w:color w:val="5C7A78"/>
          <w:sz w:val="20"/>
          <w:szCs w:val="20"/>
        </w:rPr>
        <w:t xml:space="preserve">Recency policy: 6 out of 8 cited papers are from 2024–2026 to reflect the LLM/RAG era. Two foundational works (2018, 2019) are retained where they remain the definitive reference for the specific sub-problem.</w:t>
      </w:r>
    </w:p>
    <w:p>
      <w:r>
        <w:br w:type="page"/>
      </w:r>
    </w:p>
    <w:p>
      <w:pPr>
        <w:pStyle w:val="Heading1"/>
        <w:spacing w:after="200" w:before="360"/>
      </w:pPr>
      <w:r>
        <w:rPr>
          <w:rFonts w:ascii="Georgia" w:cs="Georgia" w:eastAsia="Georgia" w:hAnsi="Georgia"/>
          <w:b/>
          <w:bCs/>
          <w:color w:val="0B2027"/>
          <w:sz w:val="34"/>
          <w:szCs w:val="34"/>
        </w:rPr>
        <w:t xml:space="preserve">3. Problem Landscape</w:t>
      </w:r>
    </w:p>
    <w:p>
      <w:pPr>
        <w:pStyle w:val="Heading2"/>
        <w:spacing w:after="140" w:before="280"/>
      </w:pPr>
      <w:r>
        <w:rPr>
          <w:rFonts w:ascii="Georgia" w:cs="Georgia" w:eastAsia="Georgia" w:hAnsi="Georgia"/>
          <w:b/>
          <w:bCs/>
          <w:color w:val="028090"/>
          <w:sz w:val="26"/>
          <w:szCs w:val="26"/>
        </w:rPr>
        <w:t xml:space="preserve">3.1 The core friction</w:t>
      </w:r>
    </w:p>
    <w:p>
      <w:pPr>
        <w:spacing w:after="120"/>
      </w:pPr>
      <w:r>
        <w:rPr>
          <w:rFonts w:ascii="Calibri" w:cs="Calibri" w:eastAsia="Calibri" w:hAnsi="Calibri"/>
          <w:b w:val="false"/>
          <w:bCs w:val="false"/>
          <w:color w:val="0B2027"/>
          <w:sz w:val="22"/>
          <w:szCs w:val="22"/>
        </w:rPr>
        <w:t xml:space="preserve">Early-stage founder–investor matching is a two-sided information asymmetry problem, not a search problem. Founders don't know which of the 490+ active Indian investors would actually consider their round; investors are drowning in inbound pitches with almost no fit-filtering. Mentorship discovery is even worse — there is no structured directory of vetted mentors mapped to founder needs at all in India.</w:t>
      </w:r>
    </w:p>
    <w:p>
      <w:pPr>
        <w:pStyle w:val="Heading2"/>
        <w:spacing w:after="140" w:before="280"/>
      </w:pPr>
      <w:r>
        <w:rPr>
          <w:rFonts w:ascii="Georgia" w:cs="Georgia" w:eastAsia="Georgia" w:hAnsi="Georgia"/>
          <w:b/>
          <w:bCs/>
          <w:color w:val="028090"/>
          <w:sz w:val="26"/>
          <w:szCs w:val="26"/>
        </w:rPr>
        <w:t xml:space="preserve">3.2 Who feels this most acutely</w:t>
      </w:r>
    </w:p>
    <w:tbl>
      <w:tblPr>
        <w:tblW w:type="dxa" w:w="9600"/>
        <w:tblBorders>
          <w:top w:val="single" w:color="E3EFEE" w:sz="4"/>
          <w:left w:val="none"/>
          <w:bottom w:val="single" w:color="E3EFEE" w:sz="4"/>
          <w:right w:val="none"/>
          <w:insideH w:val="single" w:color="E3EFEE" w:sz="2"/>
          <w:insideV w:val="none"/>
        </w:tblBorders>
      </w:tblPr>
      <w:tblGrid>
        <w:gridCol w:w="3400"/>
        <w:gridCol w:w="2000"/>
        <w:gridCol w:w="4200"/>
      </w:tblGrid>
      <w:tr>
        <w:trPr>
          <w:tblHeader/>
        </w:trPr>
        <w:tc>
          <w:tcPr>
            <w:tcW w:type="dxa" w:w="3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Segment</w:t>
            </w:r>
          </w:p>
        </w:tc>
        <w:tc>
          <w:tcPr>
            <w:tcW w:type="dxa" w:w="20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Pain intensity</w:t>
            </w:r>
          </w:p>
        </w:tc>
        <w:tc>
          <w:tcPr>
            <w:tcW w:type="dxa" w:w="42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Why they matter to us</w:t>
            </w:r>
          </w:p>
        </w:tc>
      </w:tr>
      <w:tr>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First-time founders, Tier-1 city</w:t>
            </w:r>
          </w:p>
        </w:tc>
        <w:tc>
          <w:tcPr>
            <w:tcW w:type="dxa" w:w="2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High</w:t>
            </w:r>
          </w:p>
        </w:tc>
        <w:tc>
          <w:tcPr>
            <w:tcW w:type="dxa" w:w="4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Have some network but no signal on fit; high volume, high willingness to try tools</w:t>
            </w:r>
          </w:p>
        </w:tc>
      </w:tr>
      <w:tr>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First-time founders, Tier-2/3 city</w:t>
            </w:r>
          </w:p>
        </w:tc>
        <w:tc>
          <w:tcPr>
            <w:tcW w:type="dxa" w:w="2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Very High</w:t>
            </w:r>
          </w:p>
        </w:tc>
        <w:tc>
          <w:tcPr>
            <w:tcW w:type="dxa" w:w="4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Structurally excluded from the network — our biggest impact segment</w:t>
            </w:r>
          </w:p>
        </w:tc>
      </w:tr>
      <w:tr>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Repeat founders</w:t>
            </w:r>
          </w:p>
        </w:tc>
        <w:tc>
          <w:tcPr>
            <w:tcW w:type="dxa" w:w="2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Low</w:t>
            </w:r>
          </w:p>
        </w:tc>
        <w:tc>
          <w:tcPr>
            <w:tcW w:type="dxa" w:w="4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Already have warm intro paths; will adopt only for mentor discovery</w:t>
            </w:r>
          </w:p>
        </w:tc>
      </w:tr>
      <w:tr>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Angel investors (₹5L–₹50L)</w:t>
            </w:r>
          </w:p>
        </w:tc>
        <w:tc>
          <w:tcPr>
            <w:tcW w:type="dxa" w:w="2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High</w:t>
            </w:r>
          </w:p>
        </w:tc>
        <w:tc>
          <w:tcPr>
            <w:tcW w:type="dxa" w:w="4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Get flooded with irrelevant pitches; need fit-filtering</w:t>
            </w:r>
          </w:p>
        </w:tc>
      </w:tr>
      <w:tr>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Micro-VCs (₹25L–₹5Cr)</w:t>
            </w:r>
          </w:p>
        </w:tc>
        <w:tc>
          <w:tcPr>
            <w:tcW w:type="dxa" w:w="2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Medium</w:t>
            </w:r>
          </w:p>
        </w:tc>
        <w:tc>
          <w:tcPr>
            <w:tcW w:type="dxa" w:w="4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Have some analyst bandwidth but still miss good deals due to noise</w:t>
            </w:r>
          </w:p>
        </w:tc>
      </w:tr>
      <w:tr>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Domain mentors (ex-founders, execs)</w:t>
            </w:r>
          </w:p>
        </w:tc>
        <w:tc>
          <w:tcPr>
            <w:tcW w:type="dxa" w:w="2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High</w:t>
            </w:r>
          </w:p>
        </w:tc>
        <w:tc>
          <w:tcPr>
            <w:tcW w:type="dxa" w:w="4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 formal discovery layer exists for them at all today</w:t>
            </w:r>
          </w:p>
        </w:tc>
      </w:tr>
    </w:tbl>
    <w:p>
      <w:pPr>
        <w:pStyle w:val="Heading2"/>
        <w:spacing w:after="140" w:before="280"/>
      </w:pPr>
      <w:r>
        <w:rPr>
          <w:rFonts w:ascii="Georgia" w:cs="Georgia" w:eastAsia="Georgia" w:hAnsi="Georgia"/>
          <w:b/>
          <w:bCs/>
          <w:color w:val="028090"/>
          <w:sz w:val="26"/>
          <w:szCs w:val="26"/>
        </w:rPr>
        <w:t xml:space="preserve">3.3 Why this hasn't been solved yet</w:t>
      </w:r>
    </w:p>
    <w:p>
      <w:pPr>
        <w:pStyle w:val="ListParagraph"/>
        <w:numPr>
          <w:ilvl w:val="0"/>
          <w:numId w:val="2"/>
        </w:numPr>
        <w:spacing w:after="100"/>
      </w:pPr>
      <w:r>
        <w:rPr>
          <w:rFonts w:ascii="Calibri" w:cs="Calibri" w:eastAsia="Calibri" w:hAnsi="Calibri"/>
          <w:b w:val="false"/>
          <w:bCs w:val="false"/>
          <w:color w:val="0B2027"/>
          <w:sz w:val="22"/>
          <w:szCs w:val="22"/>
        </w:rPr>
        <w:t xml:space="preserve">Data sparsity — public data on Indian investors and mentors is fragmented across LinkedIn, Crunchbase, Tracxn, and personal blogs. No single clean source.</w:t>
      </w:r>
    </w:p>
    <w:p>
      <w:pPr>
        <w:pStyle w:val="ListParagraph"/>
        <w:numPr>
          <w:ilvl w:val="0"/>
          <w:numId w:val="2"/>
        </w:numPr>
        <w:spacing w:after="100"/>
      </w:pPr>
      <w:r>
        <w:rPr>
          <w:rFonts w:ascii="Calibri" w:cs="Calibri" w:eastAsia="Calibri" w:hAnsi="Calibri"/>
          <w:b w:val="false"/>
          <w:bCs w:val="false"/>
          <w:color w:val="0B2027"/>
          <w:sz w:val="22"/>
          <w:szCs w:val="22"/>
        </w:rPr>
        <w:t xml:space="preserve">Cold-start bias — every existing platform ranks by activity/popularity, structurally burying first-time founders and new mentors.</w:t>
      </w:r>
    </w:p>
    <w:p>
      <w:pPr>
        <w:pStyle w:val="ListParagraph"/>
        <w:numPr>
          <w:ilvl w:val="0"/>
          <w:numId w:val="2"/>
        </w:numPr>
        <w:spacing w:after="100"/>
      </w:pPr>
      <w:r>
        <w:rPr>
          <w:rFonts w:ascii="Calibri" w:cs="Calibri" w:eastAsia="Calibri" w:hAnsi="Calibri"/>
          <w:b w:val="false"/>
          <w:bCs w:val="false"/>
          <w:color w:val="0B2027"/>
          <w:sz w:val="22"/>
          <w:szCs w:val="22"/>
        </w:rPr>
        <w:t xml:space="preserve">Trust deficit — founders don't trust algorithmic matches unless they can see why the system made the suggestion.</w:t>
      </w:r>
    </w:p>
    <w:p>
      <w:pPr>
        <w:pStyle w:val="ListParagraph"/>
        <w:numPr>
          <w:ilvl w:val="0"/>
          <w:numId w:val="2"/>
        </w:numPr>
        <w:spacing w:after="100"/>
      </w:pPr>
      <w:r>
        <w:rPr>
          <w:rFonts w:ascii="Calibri" w:cs="Calibri" w:eastAsia="Calibri" w:hAnsi="Calibri"/>
          <w:b w:val="false"/>
          <w:bCs w:val="false"/>
          <w:color w:val="0B2027"/>
          <w:sz w:val="22"/>
          <w:szCs w:val="22"/>
        </w:rPr>
        <w:t xml:space="preserve">Regulatory ambiguity — investor solicitation and data handling in India sit at the intersection of SEBI and the DPDP Act 2023, which most consumer platforms have not navigated well.</w:t>
      </w:r>
    </w:p>
    <w:p>
      <w:r>
        <w:br w:type="page"/>
      </w:r>
    </w:p>
    <w:p>
      <w:pPr>
        <w:pStyle w:val="Heading1"/>
        <w:spacing w:after="200" w:before="360"/>
      </w:pPr>
      <w:r>
        <w:rPr>
          <w:rFonts w:ascii="Georgia" w:cs="Georgia" w:eastAsia="Georgia" w:hAnsi="Georgia"/>
          <w:b/>
          <w:bCs/>
          <w:color w:val="0B2027"/>
          <w:sz w:val="34"/>
          <w:szCs w:val="34"/>
        </w:rPr>
        <w:t xml:space="preserve">4. Market Landscape</w:t>
      </w:r>
    </w:p>
    <w:p>
      <w:pPr>
        <w:pStyle w:val="Heading2"/>
        <w:spacing w:after="140" w:before="280"/>
      </w:pPr>
      <w:r>
        <w:rPr>
          <w:rFonts w:ascii="Georgia" w:cs="Georgia" w:eastAsia="Georgia" w:hAnsi="Georgia"/>
          <w:b/>
          <w:bCs/>
          <w:color w:val="028090"/>
          <w:sz w:val="26"/>
          <w:szCs w:val="26"/>
        </w:rPr>
        <w:t xml:space="preserve">4.1 India ecosystem sizing (2025 data)</w:t>
      </w:r>
    </w:p>
    <w:tbl>
      <w:tblPr>
        <w:tblW w:type="dxa" w:w="9600"/>
        <w:tblBorders>
          <w:top w:val="single" w:color="E3EFEE" w:sz="4"/>
          <w:left w:val="none"/>
          <w:bottom w:val="single" w:color="E3EFEE" w:sz="4"/>
          <w:right w:val="none"/>
          <w:insideH w:val="single" w:color="E3EFEE" w:sz="2"/>
          <w:insideV w:val="none"/>
        </w:tblBorders>
      </w:tblPr>
      <w:tblGrid>
        <w:gridCol w:w="3400"/>
        <w:gridCol w:w="3400"/>
        <w:gridCol w:w="2800"/>
      </w:tblGrid>
      <w:tr>
        <w:trPr>
          <w:tblHeader/>
        </w:trPr>
        <w:tc>
          <w:tcPr>
            <w:tcW w:type="dxa" w:w="3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Metric</w:t>
            </w:r>
          </w:p>
        </w:tc>
        <w:tc>
          <w:tcPr>
            <w:tcW w:type="dxa" w:w="3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2025 Value</w:t>
            </w:r>
          </w:p>
        </w:tc>
        <w:tc>
          <w:tcPr>
            <w:tcW w:type="dxa" w:w="28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Source</w:t>
            </w:r>
          </w:p>
        </w:tc>
      </w:tr>
      <w:tr>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Total Indian startups</w:t>
            </w:r>
          </w:p>
        </w:tc>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31,000–34,000</w:t>
            </w:r>
          </w:p>
        </w:tc>
        <w:tc>
          <w:tcPr>
            <w:tcW w:type="dxa" w:w="2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Nasscom-Zinnov Tech Startup Report 2025</w:t>
            </w:r>
          </w:p>
        </w:tc>
      </w:tr>
      <w:tr>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Total funding raised</w:t>
            </w:r>
          </w:p>
        </w:tc>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~USD 10.5–11 Bn (down 17% YoY)</w:t>
            </w:r>
          </w:p>
        </w:tc>
        <w:tc>
          <w:tcPr>
            <w:tcW w:type="dxa" w:w="2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Tracxn (via TechCrunch, 2025)</w:t>
            </w:r>
          </w:p>
        </w:tc>
      </w:tr>
      <w:tr>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Funding deals count</w:t>
            </w:r>
          </w:p>
        </w:tc>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1,518 (down ~39% YoY)</w:t>
            </w:r>
          </w:p>
        </w:tc>
        <w:tc>
          <w:tcPr>
            <w:tcW w:type="dxa" w:w="2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Tracxn</w:t>
            </w:r>
          </w:p>
        </w:tc>
      </w:tr>
      <w:tr>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Seed-stage funding</w:t>
            </w:r>
          </w:p>
        </w:tc>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~USD 1.1 Bn (down 30% YoY)</w:t>
            </w:r>
          </w:p>
        </w:tc>
        <w:tc>
          <w:tcPr>
            <w:tcW w:type="dxa" w:w="2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Tracxn</w:t>
            </w:r>
          </w:p>
        </w:tc>
      </w:tr>
      <w:tr>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Deep-tech funding</w:t>
            </w:r>
          </w:p>
        </w:tc>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USD 2.3 Bn (up 23% YoY)</w:t>
            </w:r>
          </w:p>
        </w:tc>
        <w:tc>
          <w:tcPr>
            <w:tcW w:type="dxa" w:w="2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Nasscom-Zinnov 2025</w:t>
            </w:r>
          </w:p>
        </w:tc>
      </w:tr>
      <w:tr>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Share going to AI startups (India)</w:t>
            </w:r>
          </w:p>
        </w:tc>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84% of deep-tech companies, 91% of deep-tech capital</w:t>
            </w:r>
          </w:p>
        </w:tc>
        <w:tc>
          <w:tcPr>
            <w:tcW w:type="dxa" w:w="2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Nasscom-Zinnov 2025</w:t>
            </w:r>
          </w:p>
        </w:tc>
      </w:tr>
      <w:tr>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Most active investor 2025</w:t>
            </w:r>
          </w:p>
        </w:tc>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Inflection Point Ventures (36 rounds)</w:t>
            </w:r>
          </w:p>
        </w:tc>
        <w:tc>
          <w:tcPr>
            <w:tcW w:type="dxa" w:w="2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Tracxn</w:t>
            </w:r>
          </w:p>
        </w:tc>
      </w:tr>
      <w:tr>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Global AI funding 2025</w:t>
            </w:r>
          </w:p>
        </w:tc>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~USD 202 Bn (~half of global VC)</w:t>
            </w:r>
          </w:p>
        </w:tc>
        <w:tc>
          <w:tcPr>
            <w:tcW w:type="dxa" w:w="2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Crunchbase EOY 2025</w:t>
            </w:r>
          </w:p>
        </w:tc>
      </w:tr>
    </w:tbl>
    <w:p>
      <w:pPr>
        <w:pStyle w:val="Heading2"/>
        <w:spacing w:after="140" w:before="280"/>
      </w:pPr>
      <w:r>
        <w:rPr>
          <w:rFonts w:ascii="Georgia" w:cs="Georgia" w:eastAsia="Georgia" w:hAnsi="Georgia"/>
          <w:b/>
          <w:bCs/>
          <w:color w:val="028090"/>
          <w:sz w:val="26"/>
          <w:szCs w:val="26"/>
        </w:rPr>
        <w:t xml:space="preserve">4.2 TAM / SAM / SOM (bottom-up estimate)</w:t>
      </w:r>
    </w:p>
    <w:tbl>
      <w:tblPr>
        <w:tblW w:type="dxa" w:w="10600"/>
        <w:tblBorders>
          <w:top w:val="single" w:color="E3EFEE" w:sz="4"/>
          <w:left w:val="none"/>
          <w:bottom w:val="single" w:color="E3EFEE" w:sz="4"/>
          <w:right w:val="none"/>
          <w:insideH w:val="single" w:color="E3EFEE" w:sz="2"/>
          <w:insideV w:val="none"/>
        </w:tblBorders>
      </w:tblPr>
      <w:tblGrid>
        <w:gridCol w:w="2600"/>
        <w:gridCol w:w="5400"/>
        <w:gridCol w:w="2600"/>
      </w:tblGrid>
      <w:tr>
        <w:trPr>
          <w:tblHeader/>
        </w:trPr>
        <w:tc>
          <w:tcPr>
            <w:tcW w:type="dxa" w:w="26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Layer</w:t>
            </w:r>
          </w:p>
        </w:tc>
        <w:tc>
          <w:tcPr>
            <w:tcW w:type="dxa" w:w="5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Definition</w:t>
            </w:r>
          </w:p>
        </w:tc>
        <w:tc>
          <w:tcPr>
            <w:tcW w:type="dxa" w:w="26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Estimate</w:t>
            </w:r>
          </w:p>
        </w:tc>
      </w:tr>
      <w:tr>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TAM (Total Addressable)</w:t>
            </w:r>
          </w:p>
        </w:tc>
        <w:tc>
          <w:tcPr>
            <w:tcW w:type="dxa" w:w="5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All early-stage founders, mentors, and investors globally who could theoretically use a matching platform</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~5M+ users worldwide</w:t>
            </w:r>
          </w:p>
        </w:tc>
      </w:tr>
      <w:tr>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SAM (Serviceable Addressable)</w:t>
            </w:r>
          </w:p>
        </w:tc>
        <w:tc>
          <w:tcPr>
            <w:tcW w:type="dxa" w:w="5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India + Southeast Asia early-stage ecosystem, English-speaking, digitally active</w:t>
            </w:r>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~150,000–200,000 users</w:t>
            </w:r>
          </w:p>
        </w:tc>
      </w:tr>
      <w:tr>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SOM (Serviceable Obtainable)</w:t>
            </w:r>
          </w:p>
        </w:tc>
        <w:tc>
          <w:tcPr>
            <w:tcW w:type="dxa" w:w="5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Indian first-time founders + angel/micro-VC investors + domain mentors reachable in 24 months via digital GTM</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~15,000–25,000 users</w:t>
            </w:r>
          </w:p>
        </w:tc>
      </w:tr>
    </w:tbl>
    <w:p>
      <w:pPr>
        <w:pStyle w:val="Heading2"/>
        <w:spacing w:after="140" w:before="280"/>
      </w:pPr>
      <w:r>
        <w:rPr>
          <w:rFonts w:ascii="Georgia" w:cs="Georgia" w:eastAsia="Georgia" w:hAnsi="Georgia"/>
          <w:b/>
          <w:bCs/>
          <w:color w:val="028090"/>
          <w:sz w:val="26"/>
          <w:szCs w:val="26"/>
        </w:rPr>
        <w:t xml:space="preserve">4.3 Why the timing is right</w:t>
      </w:r>
    </w:p>
    <w:p>
      <w:pPr>
        <w:pStyle w:val="ListParagraph"/>
        <w:numPr>
          <w:ilvl w:val="0"/>
          <w:numId w:val="2"/>
        </w:numPr>
        <w:spacing w:after="100"/>
      </w:pPr>
      <w:r>
        <w:rPr>
          <w:rFonts w:ascii="Calibri" w:cs="Calibri" w:eastAsia="Calibri" w:hAnsi="Calibri"/>
          <w:b w:val="false"/>
          <w:bCs w:val="false"/>
          <w:color w:val="0B2027"/>
          <w:sz w:val="22"/>
          <w:szCs w:val="22"/>
        </w:rPr>
        <w:t xml:space="preserve">Funding volume down but concentration up: investors are more selective, so the value of a well-fit warm intro is at a multi-year high.</w:t>
      </w:r>
    </w:p>
    <w:p>
      <w:pPr>
        <w:pStyle w:val="ListParagraph"/>
        <w:numPr>
          <w:ilvl w:val="0"/>
          <w:numId w:val="2"/>
        </w:numPr>
        <w:spacing w:after="100"/>
      </w:pPr>
      <w:r>
        <w:rPr>
          <w:rFonts w:ascii="Calibri" w:cs="Calibri" w:eastAsia="Calibri" w:hAnsi="Calibri"/>
          <w:b w:val="false"/>
          <w:bCs w:val="false"/>
          <w:color w:val="0B2027"/>
          <w:sz w:val="22"/>
          <w:szCs w:val="22"/>
        </w:rPr>
        <w:t xml:space="preserve">LLM inference cost has dropped from ~USD 0.03 per million tokens in 2024 to a projected USD 0.005 by 2028 — making embeddings + RAG economically viable at consumer scale.</w:t>
      </w:r>
    </w:p>
    <w:p>
      <w:pPr>
        <w:pStyle w:val="ListParagraph"/>
        <w:numPr>
          <w:ilvl w:val="0"/>
          <w:numId w:val="2"/>
        </w:numPr>
        <w:spacing w:after="100"/>
      </w:pPr>
      <w:r>
        <w:rPr>
          <w:rFonts w:ascii="Calibri" w:cs="Calibri" w:eastAsia="Calibri" w:hAnsi="Calibri"/>
          <w:b w:val="false"/>
          <w:bCs w:val="false"/>
          <w:color w:val="0B2027"/>
          <w:sz w:val="22"/>
          <w:szCs w:val="22"/>
        </w:rPr>
        <w:t xml:space="preserve">Indian government's USD 1.15 Bn Fund of Funds (Jan 2025) is expanding the number of active investors, growing the supply side of our marketplace.</w:t>
      </w:r>
    </w:p>
    <w:p>
      <w:pPr>
        <w:pStyle w:val="ListParagraph"/>
        <w:numPr>
          <w:ilvl w:val="0"/>
          <w:numId w:val="2"/>
        </w:numPr>
        <w:spacing w:after="100"/>
      </w:pPr>
      <w:r>
        <w:rPr>
          <w:rFonts w:ascii="Calibri" w:cs="Calibri" w:eastAsia="Calibri" w:hAnsi="Calibri"/>
          <w:b w:val="false"/>
          <w:bCs w:val="false"/>
          <w:color w:val="0B2027"/>
          <w:sz w:val="22"/>
          <w:szCs w:val="22"/>
        </w:rPr>
        <w:t xml:space="preserve">Nasscom's 2025 report explicitly flags the Seed-to-Series-A transition as the ecosystem's biggest structural friction — the exact gap we are targeting.</w:t>
      </w:r>
    </w:p>
    <w:p>
      <w:r>
        <w:br w:type="page"/>
      </w:r>
    </w:p>
    <w:p>
      <w:pPr>
        <w:pStyle w:val="Heading1"/>
        <w:spacing w:after="200" w:before="360"/>
      </w:pPr>
      <w:r>
        <w:rPr>
          <w:rFonts w:ascii="Georgia" w:cs="Georgia" w:eastAsia="Georgia" w:hAnsi="Georgia"/>
          <w:b/>
          <w:bCs/>
          <w:color w:val="0B2027"/>
          <w:sz w:val="34"/>
          <w:szCs w:val="34"/>
        </w:rPr>
        <w:t xml:space="preserve">5. Competitor Analysis</w:t>
      </w:r>
    </w:p>
    <w:p>
      <w:pPr>
        <w:spacing w:after="120"/>
      </w:pPr>
      <w:r>
        <w:rPr>
          <w:rFonts w:ascii="Calibri" w:cs="Calibri" w:eastAsia="Calibri" w:hAnsi="Calibri"/>
          <w:b w:val="false"/>
          <w:bCs w:val="false"/>
          <w:color w:val="0B2027"/>
          <w:sz w:val="22"/>
          <w:szCs w:val="22"/>
        </w:rPr>
        <w:t xml:space="preserve">We evaluated six competitors — three global, three India-focused — across the capability dimensions we consider table-stakes for a modern matching platform.</w:t>
      </w:r>
    </w:p>
    <w:tbl>
      <w:tblPr>
        <w:tblW w:type="dxa" w:w="9600"/>
        <w:tblBorders>
          <w:top w:val="single" w:color="E3EFEE" w:sz="4"/>
          <w:left w:val="none"/>
          <w:bottom w:val="single" w:color="E3EFEE" w:sz="4"/>
          <w:right w:val="none"/>
          <w:insideH w:val="single" w:color="E3EFEE" w:sz="2"/>
          <w:insideV w:val="none"/>
        </w:tblBorders>
      </w:tblPr>
      <w:tblGrid>
        <w:gridCol w:w="2400"/>
        <w:gridCol w:w="2200"/>
        <w:gridCol w:w="900"/>
        <w:gridCol w:w="1400"/>
        <w:gridCol w:w="1400"/>
        <w:gridCol w:w="1300"/>
      </w:tblGrid>
      <w:tr>
        <w:trPr>
          <w:tblHeader/>
        </w:trPr>
        <w:tc>
          <w:tcPr>
            <w:tcW w:type="dxa" w:w="2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Platform</w:t>
            </w:r>
          </w:p>
        </w:tc>
        <w:tc>
          <w:tcPr>
            <w:tcW w:type="dxa" w:w="22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Matching Method</w:t>
            </w:r>
          </w:p>
        </w:tc>
        <w:tc>
          <w:tcPr>
            <w:tcW w:type="dxa" w:w="9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Two-Sided?</w:t>
            </w:r>
          </w:p>
        </w:tc>
        <w:tc>
          <w:tcPr>
            <w:tcW w:type="dxa" w:w="1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Explains Matches?</w:t>
            </w:r>
          </w:p>
        </w:tc>
        <w:tc>
          <w:tcPr>
            <w:tcW w:type="dxa" w:w="1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Mentor Layer?</w:t>
            </w:r>
          </w:p>
        </w:tc>
        <w:tc>
          <w:tcPr>
            <w:tcW w:type="dxa" w:w="13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India Coverage</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AngelList / Wellfound</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Static filters + directory</w:t>
            </w:r>
          </w:p>
        </w:tc>
        <w:tc>
          <w:tcPr>
            <w:tcW w:type="dxa" w:w="9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w:t>
            </w:r>
          </w:p>
        </w:tc>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w:t>
            </w:r>
          </w:p>
        </w:tc>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w:t>
            </w:r>
          </w:p>
        </w:tc>
        <w:tc>
          <w:tcPr>
            <w:tcW w:type="dxa" w:w="13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Weak</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LinkedIn</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None — manual search</w:t>
            </w:r>
          </w:p>
        </w:tc>
        <w:tc>
          <w:tcPr>
            <w:tcW w:type="dxa" w:w="9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w:t>
            </w:r>
          </w:p>
        </w:tc>
        <w:tc>
          <w:tcPr>
            <w:tcW w:type="dxa" w:w="1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w:t>
            </w:r>
          </w:p>
        </w:tc>
        <w:tc>
          <w:tcPr>
            <w:tcW w:type="dxa" w:w="1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Partial</w:t>
            </w:r>
          </w:p>
        </w:tc>
        <w:tc>
          <w:tcPr>
            <w:tcW w:type="dxa" w:w="13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Strong</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F6S</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Directory / program listings</w:t>
            </w:r>
          </w:p>
        </w:tc>
        <w:tc>
          <w:tcPr>
            <w:tcW w:type="dxa" w:w="9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w:t>
            </w:r>
          </w:p>
        </w:tc>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w:t>
            </w:r>
          </w:p>
        </w:tc>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w:t>
            </w:r>
          </w:p>
        </w:tc>
        <w:tc>
          <w:tcPr>
            <w:tcW w:type="dxa" w:w="13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Medium</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Startup India Hub (Govt)</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Directory + grant listings</w:t>
            </w:r>
          </w:p>
        </w:tc>
        <w:tc>
          <w:tcPr>
            <w:tcW w:type="dxa" w:w="9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w:t>
            </w:r>
          </w:p>
        </w:tc>
        <w:tc>
          <w:tcPr>
            <w:tcW w:type="dxa" w:w="1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w:t>
            </w:r>
          </w:p>
        </w:tc>
        <w:tc>
          <w:tcPr>
            <w:tcW w:type="dxa" w:w="1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Some (govt mentors)</w:t>
            </w:r>
          </w:p>
        </w:tc>
        <w:tc>
          <w:tcPr>
            <w:tcW w:type="dxa" w:w="13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Strong</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Flowlie / Foundersuite</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AI-assisted investor DB search</w:t>
            </w:r>
          </w:p>
        </w:tc>
        <w:tc>
          <w:tcPr>
            <w:tcW w:type="dxa" w:w="9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w:t>
            </w:r>
          </w:p>
        </w:tc>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Partial</w:t>
            </w:r>
          </w:p>
        </w:tc>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w:t>
            </w:r>
          </w:p>
        </w:tc>
        <w:tc>
          <w:tcPr>
            <w:tcW w:type="dxa" w:w="13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Weak</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Inflection Point Ventures portal</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Curated deal flow for their LPs</w:t>
            </w:r>
          </w:p>
        </w:tc>
        <w:tc>
          <w:tcPr>
            <w:tcW w:type="dxa" w:w="9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One-sided</w:t>
            </w:r>
          </w:p>
        </w:tc>
        <w:tc>
          <w:tcPr>
            <w:tcW w:type="dxa" w:w="1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w:t>
            </w:r>
          </w:p>
        </w:tc>
        <w:tc>
          <w:tcPr>
            <w:tcW w:type="dxa" w:w="1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w:t>
            </w:r>
          </w:p>
        </w:tc>
        <w:tc>
          <w:tcPr>
            <w:tcW w:type="dxa" w:w="13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Strong</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Startup Connect AI (ours)</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Hybrid AI fit-score + RAG</w:t>
            </w:r>
          </w:p>
        </w:tc>
        <w:tc>
          <w:tcPr>
            <w:tcW w:type="dxa" w:w="9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YES</w:t>
            </w:r>
          </w:p>
        </w:tc>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YES — every match</w:t>
            </w:r>
          </w:p>
        </w:tc>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YES — first-class</w:t>
            </w:r>
          </w:p>
        </w:tc>
        <w:tc>
          <w:tcPr>
            <w:tcW w:type="dxa" w:w="13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Strong (India-first)</w:t>
            </w:r>
          </w:p>
        </w:tc>
      </w:tr>
    </w:tbl>
    <w:p>
      <w:pPr>
        <w:pStyle w:val="Heading2"/>
        <w:spacing w:after="140" w:before="280"/>
      </w:pPr>
      <w:r>
        <w:rPr>
          <w:rFonts w:ascii="Georgia" w:cs="Georgia" w:eastAsia="Georgia" w:hAnsi="Georgia"/>
          <w:b/>
          <w:bCs/>
          <w:color w:val="028090"/>
          <w:sz w:val="26"/>
          <w:szCs w:val="26"/>
        </w:rPr>
        <w:t xml:space="preserve">5.1 The gap in one sentence</w:t>
      </w:r>
    </w:p>
    <w:p>
      <w:pPr>
        <w:spacing w:after="120"/>
      </w:pPr>
      <w:r>
        <w:rPr>
          <w:rFonts w:ascii="Calibri" w:cs="Calibri" w:eastAsia="Calibri" w:hAnsi="Calibri"/>
          <w:b w:val="false"/>
          <w:bCs w:val="false"/>
          <w:color w:val="0B2027"/>
          <w:sz w:val="22"/>
          <w:szCs w:val="22"/>
        </w:rPr>
        <w:t xml:space="preserve">Every existing platform treats founder–investor–mentor discovery as a search problem — filter, browse, cold-DM. Not one of them treats it as a recommendation problem with fit-scoring, two-sided signal, explainability, and cold-start handling as first-class concerns. That is the wedge.</w:t>
      </w:r>
    </w:p>
    <w:p>
      <w:pPr>
        <w:pStyle w:val="Heading1"/>
        <w:spacing w:after="200" w:before="360"/>
      </w:pPr>
      <w:r>
        <w:rPr>
          <w:rFonts w:ascii="Georgia" w:cs="Georgia" w:eastAsia="Georgia" w:hAnsi="Georgia"/>
          <w:b/>
          <w:bCs/>
          <w:color w:val="0B2027"/>
          <w:sz w:val="34"/>
          <w:szCs w:val="34"/>
        </w:rPr>
        <w:t xml:space="preserve">6. Regulatory &amp; Compliance Landscape</w:t>
      </w:r>
    </w:p>
    <w:p>
      <w:pPr>
        <w:spacing w:after="120"/>
      </w:pPr>
      <w:r>
        <w:rPr>
          <w:rFonts w:ascii="Calibri" w:cs="Calibri" w:eastAsia="Calibri" w:hAnsi="Calibri"/>
          <w:b w:val="false"/>
          <w:bCs w:val="false"/>
          <w:color w:val="0B2027"/>
          <w:sz w:val="22"/>
          <w:szCs w:val="22"/>
        </w:rPr>
        <w:t xml:space="preserve">Because this platform mediates conversations between founders (raising capital) and investors (deploying capital) in India, it sits at the intersection of two regulatory regimes we need to design around from Day 1.</w:t>
      </w:r>
    </w:p>
    <w:tbl>
      <w:tblPr>
        <w:tblW w:type="dxa" w:w="10000"/>
        <w:tblBorders>
          <w:top w:val="single" w:color="E3EFEE" w:sz="4"/>
          <w:left w:val="none"/>
          <w:bottom w:val="single" w:color="E3EFEE" w:sz="4"/>
          <w:right w:val="none"/>
          <w:insideH w:val="single" w:color="E3EFEE" w:sz="2"/>
          <w:insideV w:val="none"/>
        </w:tblBorders>
      </w:tblPr>
      <w:tblGrid>
        <w:gridCol w:w="2400"/>
        <w:gridCol w:w="4400"/>
        <w:gridCol w:w="3200"/>
      </w:tblGrid>
      <w:tr>
        <w:trPr>
          <w:tblHeader/>
        </w:trPr>
        <w:tc>
          <w:tcPr>
            <w:tcW w:type="dxa" w:w="2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Regulation</w:t>
            </w:r>
          </w:p>
        </w:tc>
        <w:tc>
          <w:tcPr>
            <w:tcW w:type="dxa" w:w="4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What it says (relevant to us)</w:t>
            </w:r>
          </w:p>
        </w:tc>
        <w:tc>
          <w:tcPr>
            <w:tcW w:type="dxa" w:w="32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Our design response</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SEBI (Alternative Investment Funds) Regulations, 2012 (amended 2024)</w:t>
            </w:r>
          </w:p>
        </w:tc>
        <w:tc>
          <w:tcPr>
            <w:tcW w:type="dxa" w:w="4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Prohibits general public solicitation of investments; investors must be identified/qualified before pitches</w:t>
            </w:r>
          </w:p>
        </w:tc>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 match on both sides but do NOT publicly list live fundraises; matches are shown privately to the founder only. No public deal-room.</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Digital Personal Data Protection Act (DPDP), 2023</w:t>
            </w:r>
          </w:p>
        </w:tc>
        <w:tc>
          <w:tcPr>
            <w:tcW w:type="dxa" w:w="4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Requires explicit consent for processing personal data; data-fiduciary obligations; user right to erasure</w:t>
            </w:r>
          </w:p>
        </w:tc>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Explicit opt-in during signup; profile data encrypted at rest; user-initiated deletion flow; privacy policy versioned</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Companies Act, 2013 (Sec 42 – Private Placement)</w:t>
            </w:r>
          </w:p>
        </w:tc>
        <w:tc>
          <w:tcPr>
            <w:tcW w:type="dxa" w:w="4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Restricts how private companies can offer securities to more than 200 people in a year</w:t>
            </w:r>
          </w:p>
        </w:tc>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Platform surfaces matches only; no facilitation of securities offers themselves. Legal disclaimer in T&amp;C.</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IT Act, 2000 (intermediary rules 2021)</w:t>
            </w:r>
          </w:p>
        </w:tc>
        <w:tc>
          <w:tcPr>
            <w:tcW w:type="dxa" w:w="4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Grievance-officer requirement; content takedown obligations</w:t>
            </w:r>
          </w:p>
        </w:tc>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Named grievance officer in policy; content flag/report flow in product</w:t>
            </w:r>
          </w:p>
        </w:tc>
      </w:tr>
    </w:tbl>
    <w:p>
      <w:pPr>
        <w:spacing w:before="140"/>
      </w:pPr>
      <w:r>
        <w:rPr>
          <w:rFonts w:ascii="Calibri" w:cs="Calibri" w:eastAsia="Calibri" w:hAnsi="Calibri"/>
          <w:b w:val="false"/>
          <w:bCs w:val="false"/>
          <w:color w:val="5C7A78"/>
          <w:sz w:val="20"/>
          <w:szCs w:val="20"/>
        </w:rPr>
        <w:t xml:space="preserve">Bottom line: none of these are blockers, but all of them shape product decisions — most notably the choice to keep matches private and not build a public deal-room.</w:t>
      </w:r>
    </w:p>
    <w:p>
      <w:r>
        <w:br w:type="page"/>
      </w:r>
    </w:p>
    <w:p>
      <w:pPr>
        <w:pStyle w:val="Heading1"/>
        <w:spacing w:after="200" w:before="360"/>
      </w:pPr>
      <w:r>
        <w:rPr>
          <w:rFonts w:ascii="Georgia" w:cs="Georgia" w:eastAsia="Georgia" w:hAnsi="Georgia"/>
          <w:b/>
          <w:bCs/>
          <w:color w:val="0B2027"/>
          <w:sz w:val="34"/>
          <w:szCs w:val="34"/>
        </w:rPr>
        <w:t xml:space="preserve">7. Reference Papers — Detailed Table</w:t>
      </w:r>
    </w:p>
    <w:p>
      <w:pPr>
        <w:spacing w:after="200"/>
      </w:pPr>
      <w:r>
        <w:rPr>
          <w:rFonts w:ascii="Calibri" w:cs="Calibri" w:eastAsia="Calibri" w:hAnsi="Calibri"/>
          <w:b w:val="false"/>
          <w:bCs w:val="false"/>
          <w:color w:val="0B2027"/>
          <w:sz w:val="22"/>
          <w:szCs w:val="22"/>
        </w:rPr>
        <w:t xml:space="preserve">Eight papers form the intellectual foundation of Startup Connect AI. Six are from 2024–2026, reflecting the LLM/RAG era of recommender systems. Two foundational works are retained where they remain the definitive reference. Click any title to open the source.</w:t>
      </w:r>
    </w:p>
    <w:tbl>
      <w:tblPr>
        <w:tblW w:type="dxa" w:w="10600"/>
        <w:tblBorders>
          <w:top w:val="single" w:color="E3EFEE" w:sz="4"/>
          <w:left w:val="none"/>
          <w:bottom w:val="single" w:color="E3EFEE" w:sz="4"/>
          <w:right w:val="none"/>
          <w:insideH w:val="single" w:color="E3EFEE" w:sz="2"/>
          <w:insideV w:val="none"/>
        </w:tblBorders>
      </w:tblPr>
      <w:tblGrid>
        <w:gridCol w:w="500"/>
        <w:gridCol w:w="3800"/>
        <w:gridCol w:w="2600"/>
        <w:gridCol w:w="3700"/>
      </w:tblGrid>
      <w:tr>
        <w:trPr>
          <w:tblHeader/>
        </w:trPr>
        <w:tc>
          <w:tcPr>
            <w:tcW w:type="dxa" w:w="5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0"/>
                <w:szCs w:val="20"/>
              </w:rPr>
              <w:t xml:space="preserve">#</w:t>
            </w:r>
          </w:p>
        </w:tc>
        <w:tc>
          <w:tcPr>
            <w:tcW w:type="dxa" w:w="38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Paper (linked)</w:t>
            </w:r>
          </w:p>
        </w:tc>
        <w:tc>
          <w:tcPr>
            <w:tcW w:type="dxa" w:w="26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Authors / Venue / Year</w:t>
            </w:r>
          </w:p>
        </w:tc>
        <w:tc>
          <w:tcPr>
            <w:tcW w:type="dxa" w:w="37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Key Takeaway &amp; Our Design Decision</w:t>
            </w:r>
          </w:p>
        </w:tc>
      </w:tr>
      <w:tr>
        <w:tc>
          <w:tcPr>
            <w:tcW w:type="dxa" w:w="500"/>
            <w:shd w:fill="F4FAF9" w:color="auto" w:val="clear"/>
            <w:tcMar>
              <w:top w:type="dxa" w:w="80"/>
              <w:left w:type="dxa" w:w="120"/>
              <w:bottom w:type="dxa" w:w="80"/>
              <w:right w:type="dxa" w:w="120"/>
            </w:tcMar>
          </w:tcPr>
          <w:p>
            <w:pPr>
              <w:spacing w:after="40" w:before="40"/>
              <w:jc w:val="center"/>
            </w:pPr>
            <w:r>
              <w:rPr>
                <w:rFonts w:ascii="Calibri" w:cs="Calibri" w:eastAsia="Calibri" w:hAnsi="Calibri"/>
                <w:b/>
                <w:bCs/>
                <w:color w:val="00A896"/>
                <w:sz w:val="20"/>
                <w:szCs w:val="20"/>
              </w:rPr>
              <w:t xml:space="preserve">P1</w:t>
            </w:r>
          </w:p>
        </w:tc>
        <w:tc>
          <w:tcPr>
            <w:tcW w:type="dxa" w:w="3800"/>
            <w:shd w:fill="F4FAF9" w:color="auto" w:val="clear"/>
            <w:tcMar>
              <w:top w:type="dxa" w:w="80"/>
              <w:left w:type="dxa" w:w="120"/>
              <w:bottom w:type="dxa" w:w="80"/>
              <w:right w:type="dxa" w:w="120"/>
            </w:tcMar>
          </w:tcPr>
          <w:p>
            <w:pPr>
              <w:spacing w:after="40"/>
            </w:pPr>
            <w:hyperlink w:history="1" r:id="rIdngvdltjro8u7csbgrmlkx">
              <w:r>
                <w:rPr>
                  <w:rFonts w:ascii="Calibri" w:cs="Calibri" w:eastAsia="Calibri" w:hAnsi="Calibri"/>
                  <w:color w:val="028090"/>
                  <w:sz w:val="20"/>
                  <w:szCs w:val="20"/>
                  <w:u w:val="single"/>
                </w:rPr>
                <w:t xml:space="preserve">The Semantic Design Space of Retrieval-Augmented Recommender Systems: A Systematic Review of LLM-Based Approaches</w:t>
              </w:r>
            </w:hyperlink>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5C7A78"/>
                <w:sz w:val="18"/>
                <w:szCs w:val="18"/>
              </w:rPr>
              <w:t xml:space="preserve">Iurii Nazarov et al.</w:t>
            </w:r>
          </w:p>
          <w:p>
            <w:pPr>
              <w:spacing w:after="40" w:before="40"/>
            </w:pPr>
            <w:r>
              <w:rPr>
                <w:rFonts w:ascii="Calibri" w:cs="Calibri" w:eastAsia="Calibri" w:hAnsi="Calibri"/>
                <w:b w:val="false"/>
                <w:bCs w:val="false"/>
                <w:color w:val="5C7A78"/>
                <w:sz w:val="18"/>
                <w:szCs w:val="18"/>
              </w:rPr>
              <w:t xml:space="preserve">ScienceDirect — Journal of King Saud University (2026)</w:t>
            </w:r>
          </w:p>
        </w:tc>
        <w:tc>
          <w:tcPr>
            <w:tcW w:type="dxa" w:w="3700"/>
            <w:shd w:fill="F4FAF9" w:color="auto" w:val="clear"/>
            <w:tcMar>
              <w:top w:type="dxa" w:w="80"/>
              <w:left w:type="dxa" w:w="120"/>
              <w:bottom w:type="dxa" w:w="80"/>
              <w:right w:type="dxa" w:w="120"/>
            </w:tcMar>
          </w:tcPr>
          <w:p>
            <w:pPr>
              <w:spacing w:after="60"/>
            </w:pPr>
            <w:r>
              <w:rPr>
                <w:rFonts w:ascii="Calibri" w:cs="Calibri" w:eastAsia="Calibri" w:hAnsi="Calibri"/>
                <w:b/>
                <w:bCs/>
                <w:color w:val="0B2027"/>
                <w:sz w:val="18"/>
                <w:szCs w:val="18"/>
              </w:rPr>
              <w:t xml:space="preserve">Takeaway: </w:t>
            </w:r>
            <w:r>
              <w:rPr>
                <w:rFonts w:ascii="Calibri" w:cs="Calibri" w:eastAsia="Calibri" w:hAnsi="Calibri"/>
                <w:color w:val="0B2027"/>
                <w:sz w:val="18"/>
                <w:szCs w:val="18"/>
              </w:rPr>
              <w:t xml:space="preserve">Systematic review of 138 RAG + LLM recommender studies from 2023–2025. Provides a 3-dimensional framework (domain, semantic feature design, algorithmic strategy) that we use to justify our hybrid + RAG choice and to identify cold-start as a still-open problem.</w:t>
            </w:r>
          </w:p>
          <w:p>
            <w:pPr>
              <w:spacing w:after="40"/>
            </w:pPr>
            <w:r>
              <w:rPr>
                <w:rFonts w:ascii="Calibri" w:cs="Calibri" w:eastAsia="Calibri" w:hAnsi="Calibri"/>
                <w:b/>
                <w:bCs/>
                <w:color w:val="028090"/>
                <w:sz w:val="18"/>
                <w:szCs w:val="18"/>
              </w:rPr>
              <w:t xml:space="preserve">Our decision: </w:t>
            </w:r>
            <w:r>
              <w:rPr>
                <w:rFonts w:ascii="Calibri" w:cs="Calibri" w:eastAsia="Calibri" w:hAnsi="Calibri"/>
                <w:color w:val="0B2027"/>
                <w:sz w:val="18"/>
                <w:szCs w:val="18"/>
              </w:rPr>
              <w:t xml:space="preserve">Adopt the RAG-augmented recommender pattern — LLM grounded on a vector DB of profiles — instead of a pure classical recommender. Use their taxonomy to structure our own algorithm section.</w:t>
            </w:r>
          </w:p>
        </w:tc>
      </w:tr>
      <w:tr>
        <w:tc>
          <w:tcPr>
            <w:tcW w:type="dxa" w:w="500"/>
            <w:shd w:fill="FFFFFF" w:color="auto" w:val="clear"/>
            <w:tcMar>
              <w:top w:type="dxa" w:w="80"/>
              <w:left w:type="dxa" w:w="120"/>
              <w:bottom w:type="dxa" w:w="80"/>
              <w:right w:type="dxa" w:w="120"/>
            </w:tcMar>
          </w:tcPr>
          <w:p>
            <w:pPr>
              <w:spacing w:after="40" w:before="40"/>
              <w:jc w:val="center"/>
            </w:pPr>
            <w:r>
              <w:rPr>
                <w:rFonts w:ascii="Calibri" w:cs="Calibri" w:eastAsia="Calibri" w:hAnsi="Calibri"/>
                <w:b/>
                <w:bCs/>
                <w:color w:val="00A896"/>
                <w:sz w:val="20"/>
                <w:szCs w:val="20"/>
              </w:rPr>
              <w:t xml:space="preserve">P2</w:t>
            </w:r>
          </w:p>
        </w:tc>
        <w:tc>
          <w:tcPr>
            <w:tcW w:type="dxa" w:w="3800"/>
            <w:shd w:fill="FFFFFF" w:color="auto" w:val="clear"/>
            <w:tcMar>
              <w:top w:type="dxa" w:w="80"/>
              <w:left w:type="dxa" w:w="120"/>
              <w:bottom w:type="dxa" w:w="80"/>
              <w:right w:type="dxa" w:w="120"/>
            </w:tcMar>
          </w:tcPr>
          <w:p>
            <w:pPr>
              <w:spacing w:after="40"/>
            </w:pPr>
            <w:hyperlink w:history="1" r:id="rIdn2ssrvsbajywevc7xjn9c">
              <w:r>
                <w:rPr>
                  <w:rFonts w:ascii="Calibri" w:cs="Calibri" w:eastAsia="Calibri" w:hAnsi="Calibri"/>
                  <w:color w:val="028090"/>
                  <w:sz w:val="20"/>
                  <w:szCs w:val="20"/>
                  <w:u w:val="single"/>
                </w:rPr>
                <w:t xml:space="preserve">A Comprehensive Survey on LLM-Powered Recommender Systems: From Discriminative, Generative to Multi-Modal Paradigms</w:t>
              </w:r>
            </w:hyperlink>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5C7A78"/>
                <w:sz w:val="18"/>
                <w:szCs w:val="18"/>
              </w:rPr>
              <w:t xml:space="preserve">D. Nawara et al.</w:t>
            </w:r>
          </w:p>
          <w:p>
            <w:pPr>
              <w:spacing w:after="40" w:before="40"/>
            </w:pPr>
            <w:r>
              <w:rPr>
                <w:rFonts w:ascii="Calibri" w:cs="Calibri" w:eastAsia="Calibri" w:hAnsi="Calibri"/>
                <w:b w:val="false"/>
                <w:bCs w:val="false"/>
                <w:color w:val="5C7A78"/>
                <w:sz w:val="18"/>
                <w:szCs w:val="18"/>
              </w:rPr>
              <w:t xml:space="preserve">IEEE Access (2025)</w:t>
            </w:r>
          </w:p>
        </w:tc>
        <w:tc>
          <w:tcPr>
            <w:tcW w:type="dxa" w:w="3700"/>
            <w:shd w:fill="FFFFFF" w:color="auto" w:val="clear"/>
            <w:tcMar>
              <w:top w:type="dxa" w:w="80"/>
              <w:left w:type="dxa" w:w="120"/>
              <w:bottom w:type="dxa" w:w="80"/>
              <w:right w:type="dxa" w:w="120"/>
            </w:tcMar>
          </w:tcPr>
          <w:p>
            <w:pPr>
              <w:spacing w:after="60"/>
            </w:pPr>
            <w:r>
              <w:rPr>
                <w:rFonts w:ascii="Calibri" w:cs="Calibri" w:eastAsia="Calibri" w:hAnsi="Calibri"/>
                <w:b/>
                <w:bCs/>
                <w:color w:val="0B2027"/>
                <w:sz w:val="18"/>
                <w:szCs w:val="18"/>
              </w:rPr>
              <w:t xml:space="preserve">Takeaway: </w:t>
            </w:r>
            <w:r>
              <w:rPr>
                <w:rFonts w:ascii="Calibri" w:cs="Calibri" w:eastAsia="Calibri" w:hAnsi="Calibri"/>
                <w:color w:val="0B2027"/>
                <w:sz w:val="18"/>
                <w:szCs w:val="18"/>
              </w:rPr>
              <w:t xml:space="preserve">Maps the evolution of recommender systems from classical CF/CBF to LLM-powered, hybrid, graph-based, and multi-modal paradigms. Explicitly positions RAG as the leading pattern for improving accuracy, explainability, and precision.</w:t>
            </w:r>
          </w:p>
          <w:p>
            <w:pPr>
              <w:spacing w:after="40"/>
            </w:pPr>
            <w:r>
              <w:rPr>
                <w:rFonts w:ascii="Calibri" w:cs="Calibri" w:eastAsia="Calibri" w:hAnsi="Calibri"/>
                <w:b/>
                <w:bCs/>
                <w:color w:val="028090"/>
                <w:sz w:val="18"/>
                <w:szCs w:val="18"/>
              </w:rPr>
              <w:t xml:space="preserve">Our decision: </w:t>
            </w:r>
            <w:r>
              <w:rPr>
                <w:rFonts w:ascii="Calibri" w:cs="Calibri" w:eastAsia="Calibri" w:hAnsi="Calibri"/>
                <w:color w:val="0B2027"/>
                <w:sz w:val="18"/>
                <w:szCs w:val="18"/>
              </w:rPr>
              <w:t xml:space="preserve">Frame our recommender as a 'hybrid + LLM-augmented' system in the current-generation paradigm. Use LLM only for explanation generation and semantic search — not for core ranking — to control cost and hallucination.</w:t>
            </w:r>
          </w:p>
        </w:tc>
      </w:tr>
      <w:tr>
        <w:tc>
          <w:tcPr>
            <w:tcW w:type="dxa" w:w="500"/>
            <w:shd w:fill="F4FAF9" w:color="auto" w:val="clear"/>
            <w:tcMar>
              <w:top w:type="dxa" w:w="80"/>
              <w:left w:type="dxa" w:w="120"/>
              <w:bottom w:type="dxa" w:w="80"/>
              <w:right w:type="dxa" w:w="120"/>
            </w:tcMar>
          </w:tcPr>
          <w:p>
            <w:pPr>
              <w:spacing w:after="40" w:before="40"/>
              <w:jc w:val="center"/>
            </w:pPr>
            <w:r>
              <w:rPr>
                <w:rFonts w:ascii="Calibri" w:cs="Calibri" w:eastAsia="Calibri" w:hAnsi="Calibri"/>
                <w:b/>
                <w:bCs/>
                <w:color w:val="00A896"/>
                <w:sz w:val="20"/>
                <w:szCs w:val="20"/>
              </w:rPr>
              <w:t xml:space="preserve">P3</w:t>
            </w:r>
          </w:p>
        </w:tc>
        <w:tc>
          <w:tcPr>
            <w:tcW w:type="dxa" w:w="3800"/>
            <w:shd w:fill="F4FAF9" w:color="auto" w:val="clear"/>
            <w:tcMar>
              <w:top w:type="dxa" w:w="80"/>
              <w:left w:type="dxa" w:w="120"/>
              <w:bottom w:type="dxa" w:w="80"/>
              <w:right w:type="dxa" w:w="120"/>
            </w:tcMar>
          </w:tcPr>
          <w:p>
            <w:pPr>
              <w:spacing w:after="40"/>
            </w:pPr>
            <w:hyperlink w:history="1" r:id="rIdl0zglzmgswvxtzaparmtc">
              <w:r>
                <w:rPr>
                  <w:rFonts w:ascii="Calibri" w:cs="Calibri" w:eastAsia="Calibri" w:hAnsi="Calibri"/>
                  <w:color w:val="028090"/>
                  <w:sz w:val="20"/>
                  <w:szCs w:val="20"/>
                  <w:u w:val="single"/>
                </w:rPr>
                <w:t xml:space="preserve">AgentRecBench: Benchmarking LLM Agent-based Personalized Recommender Systems</w:t>
              </w:r>
            </w:hyperlink>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5C7A78"/>
                <w:sz w:val="18"/>
                <w:szCs w:val="18"/>
              </w:rPr>
              <w:t xml:space="preserve">Yu Shang et al.</w:t>
            </w:r>
          </w:p>
          <w:p>
            <w:pPr>
              <w:spacing w:after="40" w:before="40"/>
            </w:pPr>
            <w:r>
              <w:rPr>
                <w:rFonts w:ascii="Calibri" w:cs="Calibri" w:eastAsia="Calibri" w:hAnsi="Calibri"/>
                <w:b w:val="false"/>
                <w:bCs w:val="false"/>
                <w:color w:val="5C7A78"/>
                <w:sz w:val="18"/>
                <w:szCs w:val="18"/>
              </w:rPr>
              <w:t xml:space="preserve">arXiv preprint (May 2025)</w:t>
            </w:r>
          </w:p>
        </w:tc>
        <w:tc>
          <w:tcPr>
            <w:tcW w:type="dxa" w:w="3700"/>
            <w:shd w:fill="F4FAF9" w:color="auto" w:val="clear"/>
            <w:tcMar>
              <w:top w:type="dxa" w:w="80"/>
              <w:left w:type="dxa" w:w="120"/>
              <w:bottom w:type="dxa" w:w="80"/>
              <w:right w:type="dxa" w:w="120"/>
            </w:tcMar>
          </w:tcPr>
          <w:p>
            <w:pPr>
              <w:spacing w:after="60"/>
            </w:pPr>
            <w:r>
              <w:rPr>
                <w:rFonts w:ascii="Calibri" w:cs="Calibri" w:eastAsia="Calibri" w:hAnsi="Calibri"/>
                <w:b/>
                <w:bCs/>
                <w:color w:val="0B2027"/>
                <w:sz w:val="18"/>
                <w:szCs w:val="18"/>
              </w:rPr>
              <w:t xml:space="preserve">Takeaway: </w:t>
            </w:r>
            <w:r>
              <w:rPr>
                <w:rFonts w:ascii="Calibri" w:cs="Calibri" w:eastAsia="Calibri" w:hAnsi="Calibri"/>
                <w:color w:val="0B2027"/>
                <w:sz w:val="18"/>
                <w:szCs w:val="18"/>
              </w:rPr>
              <w:t xml:space="preserve">Proposes a benchmark and modular framework for agentic recommenders across three scenarios: classic, evolving-interest, and cold-start. Confirms that agentic LLM-based recommenders outperform classic ones on cold-start when properly designed.</w:t>
            </w:r>
          </w:p>
          <w:p>
            <w:pPr>
              <w:spacing w:after="40"/>
            </w:pPr>
            <w:r>
              <w:rPr>
                <w:rFonts w:ascii="Calibri" w:cs="Calibri" w:eastAsia="Calibri" w:hAnsi="Calibri"/>
                <w:b/>
                <w:bCs/>
                <w:color w:val="028090"/>
                <w:sz w:val="18"/>
                <w:szCs w:val="18"/>
              </w:rPr>
              <w:t xml:space="preserve">Our decision: </w:t>
            </w:r>
            <w:r>
              <w:rPr>
                <w:rFonts w:ascii="Calibri" w:cs="Calibri" w:eastAsia="Calibri" w:hAnsi="Calibri"/>
                <w:color w:val="0B2027"/>
                <w:sz w:val="18"/>
                <w:szCs w:val="18"/>
              </w:rPr>
              <w:t xml:space="preserve">Treat the founder–investor recommender as an evolving-interest + cold-start problem from Day 1. Use their evaluation scenarios to shape our own test methodology.</w:t>
            </w:r>
          </w:p>
        </w:tc>
      </w:tr>
      <w:tr>
        <w:tc>
          <w:tcPr>
            <w:tcW w:type="dxa" w:w="500"/>
            <w:shd w:fill="FFFFFF" w:color="auto" w:val="clear"/>
            <w:tcMar>
              <w:top w:type="dxa" w:w="80"/>
              <w:left w:type="dxa" w:w="120"/>
              <w:bottom w:type="dxa" w:w="80"/>
              <w:right w:type="dxa" w:w="120"/>
            </w:tcMar>
          </w:tcPr>
          <w:p>
            <w:pPr>
              <w:spacing w:after="40" w:before="40"/>
              <w:jc w:val="center"/>
            </w:pPr>
            <w:r>
              <w:rPr>
                <w:rFonts w:ascii="Calibri" w:cs="Calibri" w:eastAsia="Calibri" w:hAnsi="Calibri"/>
                <w:b/>
                <w:bCs/>
                <w:color w:val="00A896"/>
                <w:sz w:val="20"/>
                <w:szCs w:val="20"/>
              </w:rPr>
              <w:t xml:space="preserve">P4</w:t>
            </w:r>
          </w:p>
        </w:tc>
        <w:tc>
          <w:tcPr>
            <w:tcW w:type="dxa" w:w="3800"/>
            <w:shd w:fill="FFFFFF" w:color="auto" w:val="clear"/>
            <w:tcMar>
              <w:top w:type="dxa" w:w="80"/>
              <w:left w:type="dxa" w:w="120"/>
              <w:bottom w:type="dxa" w:w="80"/>
              <w:right w:type="dxa" w:w="120"/>
            </w:tcMar>
          </w:tcPr>
          <w:p>
            <w:pPr>
              <w:spacing w:after="40"/>
            </w:pPr>
            <w:hyperlink w:history="1" r:id="rIdpuuktdisfdrhmds2sqsxr">
              <w:r>
                <w:rPr>
                  <w:rFonts w:ascii="Calibri" w:cs="Calibri" w:eastAsia="Calibri" w:hAnsi="Calibri"/>
                  <w:color w:val="028090"/>
                  <w:sz w:val="20"/>
                  <w:szCs w:val="20"/>
                  <w:u w:val="single"/>
                </w:rPr>
                <w:t xml:space="preserve">Parameterized Explanations for Investor / Company Matching</w:t>
              </w:r>
            </w:hyperlink>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5C7A78"/>
                <w:sz w:val="18"/>
                <w:szCs w:val="18"/>
              </w:rPr>
              <w:t xml:space="preserve">Simerjot Kaur et al. (J.P. Morgan AI Research)</w:t>
            </w:r>
          </w:p>
          <w:p>
            <w:pPr>
              <w:spacing w:after="40" w:before="40"/>
            </w:pPr>
            <w:r>
              <w:rPr>
                <w:rFonts w:ascii="Calibri" w:cs="Calibri" w:eastAsia="Calibri" w:hAnsi="Calibri"/>
                <w:b w:val="false"/>
                <w:bCs w:val="false"/>
                <w:color w:val="5C7A78"/>
                <w:sz w:val="18"/>
                <w:szCs w:val="18"/>
              </w:rPr>
              <w:t xml:space="preserve">arXiv preprint (Oct 2021) — foundational</w:t>
            </w:r>
          </w:p>
        </w:tc>
        <w:tc>
          <w:tcPr>
            <w:tcW w:type="dxa" w:w="3700"/>
            <w:shd w:fill="FFFFFF" w:color="auto" w:val="clear"/>
            <w:tcMar>
              <w:top w:type="dxa" w:w="80"/>
              <w:left w:type="dxa" w:w="120"/>
              <w:bottom w:type="dxa" w:w="80"/>
              <w:right w:type="dxa" w:w="120"/>
            </w:tcMar>
          </w:tcPr>
          <w:p>
            <w:pPr>
              <w:spacing w:after="60"/>
            </w:pPr>
            <w:r>
              <w:rPr>
                <w:rFonts w:ascii="Calibri" w:cs="Calibri" w:eastAsia="Calibri" w:hAnsi="Calibri"/>
                <w:b/>
                <w:bCs/>
                <w:color w:val="0B2027"/>
                <w:sz w:val="18"/>
                <w:szCs w:val="18"/>
              </w:rPr>
              <w:t xml:space="preserve">Takeaway: </w:t>
            </w:r>
            <w:r>
              <w:rPr>
                <w:rFonts w:ascii="Calibri" w:cs="Calibri" w:eastAsia="Calibri" w:hAnsi="Calibri"/>
                <w:color w:val="0B2027"/>
                <w:sz w:val="18"/>
                <w:szCs w:val="18"/>
              </w:rPr>
              <w:t xml:space="preserve">Representation-learning recommender for investor–company matching, coupled with a parameterized explanation engine. Demonstrates that explainability directly improves real-world adoption of recommendations.</w:t>
            </w:r>
          </w:p>
          <w:p>
            <w:pPr>
              <w:spacing w:after="40"/>
            </w:pPr>
            <w:r>
              <w:rPr>
                <w:rFonts w:ascii="Calibri" w:cs="Calibri" w:eastAsia="Calibri" w:hAnsi="Calibri"/>
                <w:b/>
                <w:bCs/>
                <w:color w:val="028090"/>
                <w:sz w:val="18"/>
                <w:szCs w:val="18"/>
              </w:rPr>
              <w:t xml:space="preserve">Our decision: </w:t>
            </w:r>
            <w:r>
              <w:rPr>
                <w:rFonts w:ascii="Calibri" w:cs="Calibri" w:eastAsia="Calibri" w:hAnsi="Calibri"/>
                <w:color w:val="0B2027"/>
                <w:sz w:val="18"/>
                <w:szCs w:val="18"/>
              </w:rPr>
              <w:t xml:space="preserve">Directly inspires our fit-score + 'why this match' reasoning layer. Every match on Startup Connect AI ships with a structured, parameterized explanation, not just a similarity number.</w:t>
            </w:r>
          </w:p>
        </w:tc>
      </w:tr>
      <w:tr>
        <w:tc>
          <w:tcPr>
            <w:tcW w:type="dxa" w:w="500"/>
            <w:shd w:fill="F4FAF9" w:color="auto" w:val="clear"/>
            <w:tcMar>
              <w:top w:type="dxa" w:w="80"/>
              <w:left w:type="dxa" w:w="120"/>
              <w:bottom w:type="dxa" w:w="80"/>
              <w:right w:type="dxa" w:w="120"/>
            </w:tcMar>
          </w:tcPr>
          <w:p>
            <w:pPr>
              <w:spacing w:after="40" w:before="40"/>
              <w:jc w:val="center"/>
            </w:pPr>
            <w:r>
              <w:rPr>
                <w:rFonts w:ascii="Calibri" w:cs="Calibri" w:eastAsia="Calibri" w:hAnsi="Calibri"/>
                <w:b/>
                <w:bCs/>
                <w:color w:val="00A896"/>
                <w:sz w:val="20"/>
                <w:szCs w:val="20"/>
              </w:rPr>
              <w:t xml:space="preserve">P5</w:t>
            </w:r>
          </w:p>
        </w:tc>
        <w:tc>
          <w:tcPr>
            <w:tcW w:type="dxa" w:w="3800"/>
            <w:shd w:fill="F4FAF9" w:color="auto" w:val="clear"/>
            <w:tcMar>
              <w:top w:type="dxa" w:w="80"/>
              <w:left w:type="dxa" w:w="120"/>
              <w:bottom w:type="dxa" w:w="80"/>
              <w:right w:type="dxa" w:w="120"/>
            </w:tcMar>
          </w:tcPr>
          <w:p>
            <w:pPr>
              <w:spacing w:after="40"/>
            </w:pPr>
            <w:hyperlink w:history="1" r:id="rIdrz2huietydljxarjf6m0_">
              <w:r>
                <w:rPr>
                  <w:rFonts w:ascii="Calibri" w:cs="Calibri" w:eastAsia="Calibri" w:hAnsi="Calibri"/>
                  <w:color w:val="028090"/>
                  <w:sz w:val="20"/>
                  <w:szCs w:val="20"/>
                  <w:u w:val="single"/>
                </w:rPr>
                <w:t xml:space="preserve">Matching Startup Founders to Investors: A Tool and a Study</w:t>
              </w:r>
            </w:hyperlink>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5C7A78"/>
                <w:sz w:val="18"/>
                <w:szCs w:val="18"/>
              </w:rPr>
              <w:t xml:space="preserve">Yasyf Mohamedali (MIT master's thesis)</w:t>
            </w:r>
          </w:p>
          <w:p>
            <w:pPr>
              <w:spacing w:after="40" w:before="40"/>
            </w:pPr>
            <w:r>
              <w:rPr>
                <w:rFonts w:ascii="Calibri" w:cs="Calibri" w:eastAsia="Calibri" w:hAnsi="Calibri"/>
                <w:b w:val="false"/>
                <w:bCs w:val="false"/>
                <w:color w:val="5C7A78"/>
                <w:sz w:val="18"/>
                <w:szCs w:val="18"/>
              </w:rPr>
              <w:t xml:space="preserve">MIT / arXiv 1806.03241 (2018) — foundational</w:t>
            </w:r>
          </w:p>
        </w:tc>
        <w:tc>
          <w:tcPr>
            <w:tcW w:type="dxa" w:w="3700"/>
            <w:shd w:fill="F4FAF9" w:color="auto" w:val="clear"/>
            <w:tcMar>
              <w:top w:type="dxa" w:w="80"/>
              <w:left w:type="dxa" w:w="120"/>
              <w:bottom w:type="dxa" w:w="80"/>
              <w:right w:type="dxa" w:w="120"/>
            </w:tcMar>
          </w:tcPr>
          <w:p>
            <w:pPr>
              <w:spacing w:after="60"/>
            </w:pPr>
            <w:r>
              <w:rPr>
                <w:rFonts w:ascii="Calibri" w:cs="Calibri" w:eastAsia="Calibri" w:hAnsi="Calibri"/>
                <w:b/>
                <w:bCs/>
                <w:color w:val="0B2027"/>
                <w:sz w:val="18"/>
                <w:szCs w:val="18"/>
              </w:rPr>
              <w:t xml:space="preserve">Takeaway: </w:t>
            </w:r>
            <w:r>
              <w:rPr>
                <w:rFonts w:ascii="Calibri" w:cs="Calibri" w:eastAsia="Calibri" w:hAnsi="Calibri"/>
                <w:color w:val="0B2027"/>
                <w:sz w:val="18"/>
                <w:szCs w:val="18"/>
              </w:rPr>
              <w:t xml:space="preserve">Built and evaluated VCWiz, an actual founder–investor matching platform. Documents real-world friction: cold-start data sparsity, why pure kNN recommenders failed, and the value of a rule-based + attention-based hybrid ranking function.</w:t>
            </w:r>
          </w:p>
          <w:p>
            <w:pPr>
              <w:spacing w:after="40"/>
            </w:pPr>
            <w:r>
              <w:rPr>
                <w:rFonts w:ascii="Calibri" w:cs="Calibri" w:eastAsia="Calibri" w:hAnsi="Calibri"/>
                <w:b/>
                <w:bCs/>
                <w:color w:val="028090"/>
                <w:sz w:val="18"/>
                <w:szCs w:val="18"/>
              </w:rPr>
              <w:t xml:space="preserve">Our decision: </w:t>
            </w:r>
            <w:r>
              <w:rPr>
                <w:rFonts w:ascii="Calibri" w:cs="Calibri" w:eastAsia="Calibri" w:hAnsi="Calibri"/>
                <w:color w:val="0B2027"/>
                <w:sz w:val="18"/>
                <w:szCs w:val="18"/>
              </w:rPr>
              <w:t xml:space="preserve">Follow VCWiz's lesson: start with a rule-based + weighted-hybrid ranker, then layer collaborative signals as interaction data accumulates. Don't over-engineer ML on Day 1.</w:t>
            </w:r>
          </w:p>
        </w:tc>
      </w:tr>
      <w:tr>
        <w:tc>
          <w:tcPr>
            <w:tcW w:type="dxa" w:w="500"/>
            <w:shd w:fill="FFFFFF" w:color="auto" w:val="clear"/>
            <w:tcMar>
              <w:top w:type="dxa" w:w="80"/>
              <w:left w:type="dxa" w:w="120"/>
              <w:bottom w:type="dxa" w:w="80"/>
              <w:right w:type="dxa" w:w="120"/>
            </w:tcMar>
          </w:tcPr>
          <w:p>
            <w:pPr>
              <w:spacing w:after="40" w:before="40"/>
              <w:jc w:val="center"/>
            </w:pPr>
            <w:r>
              <w:rPr>
                <w:rFonts w:ascii="Calibri" w:cs="Calibri" w:eastAsia="Calibri" w:hAnsi="Calibri"/>
                <w:b/>
                <w:bCs/>
                <w:color w:val="00A896"/>
                <w:sz w:val="20"/>
                <w:szCs w:val="20"/>
              </w:rPr>
              <w:t xml:space="preserve">P6</w:t>
            </w:r>
          </w:p>
        </w:tc>
        <w:tc>
          <w:tcPr>
            <w:tcW w:type="dxa" w:w="3800"/>
            <w:shd w:fill="FFFFFF" w:color="auto" w:val="clear"/>
            <w:tcMar>
              <w:top w:type="dxa" w:w="80"/>
              <w:left w:type="dxa" w:w="120"/>
              <w:bottom w:type="dxa" w:w="80"/>
              <w:right w:type="dxa" w:w="120"/>
            </w:tcMar>
          </w:tcPr>
          <w:p>
            <w:pPr>
              <w:spacing w:after="40"/>
            </w:pPr>
            <w:hyperlink w:history="1" r:id="rIddlu5et1yzx8l45qknoilt">
              <w:r>
                <w:rPr>
                  <w:rFonts w:ascii="Calibri" w:cs="Calibri" w:eastAsia="Calibri" w:hAnsi="Calibri"/>
                  <w:color w:val="028090"/>
                  <w:sz w:val="20"/>
                  <w:szCs w:val="20"/>
                  <w:u w:val="single"/>
                </w:rPr>
                <w:t xml:space="preserve">A Machine Learning-Based Suitable Startup Recommendation Scheme and Investor Assistance Mobile Application</w:t>
              </w:r>
            </w:hyperlink>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5C7A78"/>
                <w:sz w:val="18"/>
                <w:szCs w:val="18"/>
              </w:rPr>
              <w:t xml:space="preserve">Chittagong University of Engineering and Technology research group</w:t>
            </w:r>
          </w:p>
          <w:p>
            <w:pPr>
              <w:spacing w:after="40" w:before="40"/>
            </w:pPr>
            <w:r>
              <w:rPr>
                <w:rFonts w:ascii="Calibri" w:cs="Calibri" w:eastAsia="Calibri" w:hAnsi="Calibri"/>
                <w:b w:val="false"/>
                <w:bCs w:val="false"/>
                <w:color w:val="5C7A78"/>
                <w:sz w:val="18"/>
                <w:szCs w:val="18"/>
              </w:rPr>
              <w:t xml:space="preserve">ResearchGate (2024)</w:t>
            </w:r>
          </w:p>
        </w:tc>
        <w:tc>
          <w:tcPr>
            <w:tcW w:type="dxa" w:w="3700"/>
            <w:shd w:fill="FFFFFF" w:color="auto" w:val="clear"/>
            <w:tcMar>
              <w:top w:type="dxa" w:w="80"/>
              <w:left w:type="dxa" w:w="120"/>
              <w:bottom w:type="dxa" w:w="80"/>
              <w:right w:type="dxa" w:w="120"/>
            </w:tcMar>
          </w:tcPr>
          <w:p>
            <w:pPr>
              <w:spacing w:after="60"/>
            </w:pPr>
            <w:r>
              <w:rPr>
                <w:rFonts w:ascii="Calibri" w:cs="Calibri" w:eastAsia="Calibri" w:hAnsi="Calibri"/>
                <w:b/>
                <w:bCs/>
                <w:color w:val="0B2027"/>
                <w:sz w:val="18"/>
                <w:szCs w:val="18"/>
              </w:rPr>
              <w:t xml:space="preserve">Takeaway: </w:t>
            </w:r>
            <w:r>
              <w:rPr>
                <w:rFonts w:ascii="Calibri" w:cs="Calibri" w:eastAsia="Calibri" w:hAnsi="Calibri"/>
                <w:color w:val="0B2027"/>
                <w:sz w:val="18"/>
                <w:szCs w:val="18"/>
              </w:rPr>
              <w:t xml:space="preserve">Recommender for matching startups to investors using TF-IDF over startup and investor characteristics (segment, geography, city). Compares TF-IDF against SVD and PCA and finds TF-IDF wins on recall + precision for this task.</w:t>
            </w:r>
          </w:p>
          <w:p>
            <w:pPr>
              <w:spacing w:after="40"/>
            </w:pPr>
            <w:r>
              <w:rPr>
                <w:rFonts w:ascii="Calibri" w:cs="Calibri" w:eastAsia="Calibri" w:hAnsi="Calibri"/>
                <w:b/>
                <w:bCs/>
                <w:color w:val="028090"/>
                <w:sz w:val="18"/>
                <w:szCs w:val="18"/>
              </w:rPr>
              <w:t xml:space="preserve">Our decision: </w:t>
            </w:r>
            <w:r>
              <w:rPr>
                <w:rFonts w:ascii="Calibri" w:cs="Calibri" w:eastAsia="Calibri" w:hAnsi="Calibri"/>
                <w:color w:val="0B2027"/>
                <w:sz w:val="18"/>
                <w:szCs w:val="18"/>
              </w:rPr>
              <w:t xml:space="preserve">TF-IDF is our baseline for content-based similarity — cheap, interpretable, easy to A/B test against sentence-transformer embeddings. This is our fallback if embeddings underperform.</w:t>
            </w:r>
          </w:p>
        </w:tc>
      </w:tr>
      <w:tr>
        <w:tc>
          <w:tcPr>
            <w:tcW w:type="dxa" w:w="500"/>
            <w:shd w:fill="F4FAF9" w:color="auto" w:val="clear"/>
            <w:tcMar>
              <w:top w:type="dxa" w:w="80"/>
              <w:left w:type="dxa" w:w="120"/>
              <w:bottom w:type="dxa" w:w="80"/>
              <w:right w:type="dxa" w:w="120"/>
            </w:tcMar>
          </w:tcPr>
          <w:p>
            <w:pPr>
              <w:spacing w:after="40" w:before="40"/>
              <w:jc w:val="center"/>
            </w:pPr>
            <w:r>
              <w:rPr>
                <w:rFonts w:ascii="Calibri" w:cs="Calibri" w:eastAsia="Calibri" w:hAnsi="Calibri"/>
                <w:b/>
                <w:bCs/>
                <w:color w:val="00A896"/>
                <w:sz w:val="20"/>
                <w:szCs w:val="20"/>
              </w:rPr>
              <w:t xml:space="preserve">P7</w:t>
            </w:r>
          </w:p>
        </w:tc>
        <w:tc>
          <w:tcPr>
            <w:tcW w:type="dxa" w:w="3800"/>
            <w:shd w:fill="F4FAF9" w:color="auto" w:val="clear"/>
            <w:tcMar>
              <w:top w:type="dxa" w:w="80"/>
              <w:left w:type="dxa" w:w="120"/>
              <w:bottom w:type="dxa" w:w="80"/>
              <w:right w:type="dxa" w:w="120"/>
            </w:tcMar>
          </w:tcPr>
          <w:p>
            <w:pPr>
              <w:spacing w:after="40"/>
            </w:pPr>
            <w:hyperlink w:history="1" r:id="rIdjo3tx8w2kme6bovagxqde">
              <w:r>
                <w:rPr>
                  <w:rFonts w:ascii="Calibri" w:cs="Calibri" w:eastAsia="Calibri" w:hAnsi="Calibri"/>
                  <w:color w:val="028090"/>
                  <w:sz w:val="20"/>
                  <w:szCs w:val="20"/>
                  <w:u w:val="single"/>
                </w:rPr>
                <w:t xml:space="preserve">Recommending Investors for New Startups by Integrating Network Diffusion and Investors' Domain Preference</w:t>
              </w:r>
            </w:hyperlink>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5C7A78"/>
                <w:sz w:val="18"/>
                <w:szCs w:val="18"/>
              </w:rPr>
              <w:t xml:space="preserve">Shuqi Xu et al.</w:t>
            </w:r>
          </w:p>
          <w:p>
            <w:pPr>
              <w:spacing w:after="40" w:before="40"/>
            </w:pPr>
            <w:r>
              <w:rPr>
                <w:rFonts w:ascii="Calibri" w:cs="Calibri" w:eastAsia="Calibri" w:hAnsi="Calibri"/>
                <w:b w:val="false"/>
                <w:bCs w:val="false"/>
                <w:color w:val="5C7A78"/>
                <w:sz w:val="18"/>
                <w:szCs w:val="18"/>
              </w:rPr>
              <w:t xml:space="preserve">Information Sciences, Elsevier (2020)</w:t>
            </w:r>
          </w:p>
        </w:tc>
        <w:tc>
          <w:tcPr>
            <w:tcW w:type="dxa" w:w="3700"/>
            <w:shd w:fill="F4FAF9" w:color="auto" w:val="clear"/>
            <w:tcMar>
              <w:top w:type="dxa" w:w="80"/>
              <w:left w:type="dxa" w:w="120"/>
              <w:bottom w:type="dxa" w:w="80"/>
              <w:right w:type="dxa" w:w="120"/>
            </w:tcMar>
          </w:tcPr>
          <w:p>
            <w:pPr>
              <w:spacing w:after="60"/>
            </w:pPr>
            <w:r>
              <w:rPr>
                <w:rFonts w:ascii="Calibri" w:cs="Calibri" w:eastAsia="Calibri" w:hAnsi="Calibri"/>
                <w:b/>
                <w:bCs/>
                <w:color w:val="0B2027"/>
                <w:sz w:val="18"/>
                <w:szCs w:val="18"/>
              </w:rPr>
              <w:t xml:space="preserve">Takeaway: </w:t>
            </w:r>
            <w:r>
              <w:rPr>
                <w:rFonts w:ascii="Calibri" w:cs="Calibri" w:eastAsia="Calibri" w:hAnsi="Calibri"/>
                <w:color w:val="0B2027"/>
                <w:sz w:val="18"/>
                <w:szCs w:val="18"/>
              </w:rPr>
              <w:t xml:space="preserve">Analyzes 34,469 real investment events and directly attacks the cold-start problem for new startups. Introduces domain-preference-aware tripartite network representations that outperform vanilla CF for new-startup recommendations.</w:t>
            </w:r>
          </w:p>
          <w:p>
            <w:pPr>
              <w:spacing w:after="40"/>
            </w:pPr>
            <w:r>
              <w:rPr>
                <w:rFonts w:ascii="Calibri" w:cs="Calibri" w:eastAsia="Calibri" w:hAnsi="Calibri"/>
                <w:b/>
                <w:bCs/>
                <w:color w:val="028090"/>
                <w:sz w:val="18"/>
                <w:szCs w:val="18"/>
              </w:rPr>
              <w:t xml:space="preserve">Our decision: </w:t>
            </w:r>
            <w:r>
              <w:rPr>
                <w:rFonts w:ascii="Calibri" w:cs="Calibri" w:eastAsia="Calibri" w:hAnsi="Calibri"/>
                <w:color w:val="0B2027"/>
                <w:sz w:val="18"/>
                <w:szCs w:val="18"/>
              </w:rPr>
              <w:t xml:space="preserve">Model investors with explicit domain-preference vectors (sector, stage, geography, cheque size) — not just latent factors. This gives us a warm-start signal even before any interaction data exists.</w:t>
            </w:r>
          </w:p>
        </w:tc>
      </w:tr>
      <w:tr>
        <w:tc>
          <w:tcPr>
            <w:tcW w:type="dxa" w:w="500"/>
            <w:shd w:fill="FFFFFF" w:color="auto" w:val="clear"/>
            <w:tcMar>
              <w:top w:type="dxa" w:w="80"/>
              <w:left w:type="dxa" w:w="120"/>
              <w:bottom w:type="dxa" w:w="80"/>
              <w:right w:type="dxa" w:w="120"/>
            </w:tcMar>
          </w:tcPr>
          <w:p>
            <w:pPr>
              <w:spacing w:after="40" w:before="40"/>
              <w:jc w:val="center"/>
            </w:pPr>
            <w:r>
              <w:rPr>
                <w:rFonts w:ascii="Calibri" w:cs="Calibri" w:eastAsia="Calibri" w:hAnsi="Calibri"/>
                <w:b/>
                <w:bCs/>
                <w:color w:val="00A896"/>
                <w:sz w:val="20"/>
                <w:szCs w:val="20"/>
              </w:rPr>
              <w:t xml:space="preserve">P8</w:t>
            </w:r>
          </w:p>
        </w:tc>
        <w:tc>
          <w:tcPr>
            <w:tcW w:type="dxa" w:w="3800"/>
            <w:shd w:fill="FFFFFF" w:color="auto" w:val="clear"/>
            <w:tcMar>
              <w:top w:type="dxa" w:w="80"/>
              <w:left w:type="dxa" w:w="120"/>
              <w:bottom w:type="dxa" w:w="80"/>
              <w:right w:type="dxa" w:w="120"/>
            </w:tcMar>
          </w:tcPr>
          <w:p>
            <w:pPr>
              <w:spacing w:after="40"/>
            </w:pPr>
            <w:hyperlink w:history="1" r:id="rIdpfrhgall5xkddta_dqqb6">
              <w:r>
                <w:rPr>
                  <w:rFonts w:ascii="Calibri" w:cs="Calibri" w:eastAsia="Calibri" w:hAnsi="Calibri"/>
                  <w:color w:val="028090"/>
                  <w:sz w:val="20"/>
                  <w:szCs w:val="20"/>
                  <w:u w:val="single"/>
                </w:rPr>
                <w:t xml:space="preserve">Hybrid Recommender Systems: A Systematic Literature Review</w:t>
              </w:r>
            </w:hyperlink>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5C7A78"/>
                <w:sz w:val="18"/>
                <w:szCs w:val="18"/>
              </w:rPr>
              <w:t xml:space="preserve">Erion Çano, Maurizio Morisio</w:t>
            </w:r>
          </w:p>
          <w:p>
            <w:pPr>
              <w:spacing w:after="40" w:before="40"/>
            </w:pPr>
            <w:r>
              <w:rPr>
                <w:rFonts w:ascii="Calibri" w:cs="Calibri" w:eastAsia="Calibri" w:hAnsi="Calibri"/>
                <w:b w:val="false"/>
                <w:bCs w:val="false"/>
                <w:color w:val="5C7A78"/>
                <w:sz w:val="18"/>
                <w:szCs w:val="18"/>
              </w:rPr>
              <w:t xml:space="preserve">arXiv 1901.03888 (2019) — foundational methodology</w:t>
            </w:r>
          </w:p>
        </w:tc>
        <w:tc>
          <w:tcPr>
            <w:tcW w:type="dxa" w:w="3700"/>
            <w:shd w:fill="FFFFFF" w:color="auto" w:val="clear"/>
            <w:tcMar>
              <w:top w:type="dxa" w:w="80"/>
              <w:left w:type="dxa" w:w="120"/>
              <w:bottom w:type="dxa" w:w="80"/>
              <w:right w:type="dxa" w:w="120"/>
            </w:tcMar>
          </w:tcPr>
          <w:p>
            <w:pPr>
              <w:spacing w:after="60"/>
            </w:pPr>
            <w:r>
              <w:rPr>
                <w:rFonts w:ascii="Calibri" w:cs="Calibri" w:eastAsia="Calibri" w:hAnsi="Calibri"/>
                <w:b/>
                <w:bCs/>
                <w:color w:val="0B2027"/>
                <w:sz w:val="18"/>
                <w:szCs w:val="18"/>
              </w:rPr>
              <w:t xml:space="preserve">Takeaway: </w:t>
            </w:r>
            <w:r>
              <w:rPr>
                <w:rFonts w:ascii="Calibri" w:cs="Calibri" w:eastAsia="Calibri" w:hAnsi="Calibri"/>
                <w:color w:val="0B2027"/>
                <w:sz w:val="18"/>
                <w:szCs w:val="18"/>
              </w:rPr>
              <w:t xml:space="preserve">Comprehensive review of hybridization strategies across ~200 recommender studies. Finds that weighted hybrids of CF + a second technique dominate the literature and consistently outperform single-strategy baselines.</w:t>
            </w:r>
          </w:p>
          <w:p>
            <w:pPr>
              <w:spacing w:after="40"/>
            </w:pPr>
            <w:r>
              <w:rPr>
                <w:rFonts w:ascii="Calibri" w:cs="Calibri" w:eastAsia="Calibri" w:hAnsi="Calibri"/>
                <w:b/>
                <w:bCs/>
                <w:color w:val="028090"/>
                <w:sz w:val="18"/>
                <w:szCs w:val="18"/>
              </w:rPr>
              <w:t xml:space="preserve">Our decision: </w:t>
            </w:r>
            <w:r>
              <w:rPr>
                <w:rFonts w:ascii="Calibri" w:cs="Calibri" w:eastAsia="Calibri" w:hAnsi="Calibri"/>
                <w:color w:val="0B2027"/>
                <w:sz w:val="18"/>
                <w:szCs w:val="18"/>
              </w:rPr>
              <w:t xml:space="preserve">Use a weighted hybrid: score = α·content_similarity + (1−α)·collaborative_signal, α tunable per user segment. Matches the empirically dominant pattern from the literature.</w:t>
            </w:r>
          </w:p>
        </w:tc>
      </w:tr>
    </w:tbl>
    <w:p>
      <w:r>
        <w:br w:type="page"/>
      </w:r>
    </w:p>
    <w:p>
      <w:pPr>
        <w:pStyle w:val="Heading1"/>
        <w:spacing w:after="200" w:before="360"/>
      </w:pPr>
      <w:r>
        <w:rPr>
          <w:rFonts w:ascii="Georgia" w:cs="Georgia" w:eastAsia="Georgia" w:hAnsi="Georgia"/>
          <w:b/>
          <w:bCs/>
          <w:color w:val="0B2027"/>
          <w:sz w:val="34"/>
          <w:szCs w:val="34"/>
        </w:rPr>
        <w:t xml:space="preserve">8. Key Research Findings</w:t>
      </w:r>
    </w:p>
    <w:p>
      <w:pPr>
        <w:spacing w:after="200"/>
      </w:pPr>
      <w:r>
        <w:rPr>
          <w:rFonts w:ascii="Calibri" w:cs="Calibri" w:eastAsia="Calibri" w:hAnsi="Calibri"/>
          <w:b w:val="false"/>
          <w:bCs w:val="false"/>
          <w:color w:val="0B2027"/>
          <w:sz w:val="22"/>
          <w:szCs w:val="22"/>
        </w:rPr>
        <w:t xml:space="preserve">Synthesized across the eight papers and the market/competitor analysis, six findings drive our platform design.</w:t>
      </w:r>
    </w:p>
    <w:p>
      <w:pPr>
        <w:spacing w:after="60" w:before="200"/>
      </w:pPr>
      <w:r>
        <w:rPr>
          <w:rFonts w:ascii="Calibri" w:cs="Calibri" w:eastAsia="Calibri" w:hAnsi="Calibri"/>
          <w:b/>
          <w:bCs/>
          <w:color w:val="0B2027"/>
          <w:sz w:val="22"/>
          <w:szCs w:val="22"/>
        </w:rPr>
        <w:t xml:space="preserve">F1. Hybrid &gt; pure CF or pure content-based</w:t>
      </w:r>
    </w:p>
    <w:p>
      <w:pPr>
        <w:spacing w:after="80"/>
      </w:pPr>
      <w:r>
        <w:rPr>
          <w:rFonts w:ascii="Calibri" w:cs="Calibri" w:eastAsia="Calibri" w:hAnsi="Calibri"/>
          <w:b w:val="false"/>
          <w:bCs w:val="false"/>
          <w:color w:val="0B2027"/>
          <w:sz w:val="22"/>
          <w:szCs w:val="22"/>
        </w:rPr>
        <w:t xml:space="preserve">The 2019 systematic review of ~200 hybrid recommenders (P8) and the 2026 systematic review of 138 RAG+LLM recommenders (P1) both conclude that weighted hybrids consistently outperform single-strategy baselines. Pure collaborative filtering fails on cold-start; pure content-based ignores behavior.</w:t>
      </w:r>
    </w:p>
    <w:p>
      <w:pPr>
        <w:spacing w:after="60" w:before="200"/>
      </w:pPr>
      <w:r>
        <w:rPr>
          <w:rFonts w:ascii="Calibri" w:cs="Calibri" w:eastAsia="Calibri" w:hAnsi="Calibri"/>
          <w:b/>
          <w:bCs/>
          <w:color w:val="0B2027"/>
          <w:sz w:val="22"/>
          <w:szCs w:val="22"/>
        </w:rPr>
        <w:t xml:space="preserve">F2. Cold-start is the defining problem for this domain</w:t>
      </w:r>
    </w:p>
    <w:p>
      <w:pPr>
        <w:spacing w:after="80"/>
      </w:pPr>
      <w:r>
        <w:rPr>
          <w:rFonts w:ascii="Calibri" w:cs="Calibri" w:eastAsia="Calibri" w:hAnsi="Calibri"/>
          <w:b w:val="false"/>
          <w:bCs w:val="false"/>
          <w:color w:val="0B2027"/>
          <w:sz w:val="22"/>
          <w:szCs w:val="22"/>
        </w:rPr>
        <w:t xml:space="preserve">P3 (AgentRecBench 2025) explicitly lists cold-start as one of three benchmark scenarios. P7 (Xu et al., 2020) builds an entire methodology around it. Every existing platform in our competitor scan handles cold-start weakly. For a founder-investor platform where first-time founders are the primary user, this is the problem we have to solve well.</w:t>
      </w:r>
    </w:p>
    <w:p>
      <w:pPr>
        <w:spacing w:after="60" w:before="200"/>
      </w:pPr>
      <w:r>
        <w:rPr>
          <w:rFonts w:ascii="Calibri" w:cs="Calibri" w:eastAsia="Calibri" w:hAnsi="Calibri"/>
          <w:b/>
          <w:bCs/>
          <w:color w:val="0B2027"/>
          <w:sz w:val="22"/>
          <w:szCs w:val="22"/>
        </w:rPr>
        <w:t xml:space="preserve">F3. Explainability drives adoption, not just accuracy</w:t>
      </w:r>
    </w:p>
    <w:p>
      <w:pPr>
        <w:spacing w:after="80"/>
      </w:pPr>
      <w:r>
        <w:rPr>
          <w:rFonts w:ascii="Calibri" w:cs="Calibri" w:eastAsia="Calibri" w:hAnsi="Calibri"/>
          <w:b w:val="false"/>
          <w:bCs w:val="false"/>
          <w:color w:val="0B2027"/>
          <w:sz w:val="22"/>
          <w:szCs w:val="22"/>
        </w:rPr>
        <w:t xml:space="preserve">P4 (J.P. Morgan AI Research) shows explicitly that pairing recommendations with parameterized explanations improves real-world adoption. In a trust-sensitive domain like investor matching, a black-box score is worse than a slightly less accurate but transparent one.</w:t>
      </w:r>
    </w:p>
    <w:p>
      <w:pPr>
        <w:spacing w:after="60" w:before="200"/>
      </w:pPr>
      <w:r>
        <w:rPr>
          <w:rFonts w:ascii="Calibri" w:cs="Calibri" w:eastAsia="Calibri" w:hAnsi="Calibri"/>
          <w:b/>
          <w:bCs/>
          <w:color w:val="0B2027"/>
          <w:sz w:val="22"/>
          <w:szCs w:val="22"/>
        </w:rPr>
        <w:t xml:space="preserve">F4. LLM-based recommenders are now the standard paradigm</w:t>
      </w:r>
    </w:p>
    <w:p>
      <w:pPr>
        <w:spacing w:after="80"/>
      </w:pPr>
      <w:r>
        <w:rPr>
          <w:rFonts w:ascii="Calibri" w:cs="Calibri" w:eastAsia="Calibri" w:hAnsi="Calibri"/>
          <w:b w:val="false"/>
          <w:bCs w:val="false"/>
          <w:color w:val="0B2027"/>
          <w:sz w:val="22"/>
          <w:szCs w:val="22"/>
        </w:rPr>
        <w:t xml:space="preserve">P1 and P2 (both 2025–2026 comprehensive surveys) position LLM/RAG-augmented recommenders as the current dominant paradigm. Building a purely classical recommender in 2026 would be architecturally out of date.</w:t>
      </w:r>
    </w:p>
    <w:p>
      <w:pPr>
        <w:spacing w:after="60" w:before="200"/>
      </w:pPr>
      <w:r>
        <w:rPr>
          <w:rFonts w:ascii="Calibri" w:cs="Calibri" w:eastAsia="Calibri" w:hAnsi="Calibri"/>
          <w:b/>
          <w:bCs/>
          <w:color w:val="0B2027"/>
          <w:sz w:val="22"/>
          <w:szCs w:val="22"/>
        </w:rPr>
        <w:t xml:space="preserve">F5. Agentic patterns work best for evolving-interest problems</w:t>
      </w:r>
    </w:p>
    <w:p>
      <w:pPr>
        <w:spacing w:after="80"/>
      </w:pPr>
      <w:r>
        <w:rPr>
          <w:rFonts w:ascii="Calibri" w:cs="Calibri" w:eastAsia="Calibri" w:hAnsi="Calibri"/>
          <w:b w:val="false"/>
          <w:bCs w:val="false"/>
          <w:color w:val="0B2027"/>
          <w:sz w:val="22"/>
          <w:szCs w:val="22"/>
        </w:rPr>
        <w:t xml:space="preserve">P3 (AgentRecBench) shows agentic LLM recommenders outperform classic ones on evolving-interest and cold-start scenarios. Founder needs evolve rapidly through a fundraise; an agentic interface (e.g., 'find me a fintech investor who's backed Pune startups') matches how users actually think.</w:t>
      </w:r>
    </w:p>
    <w:p>
      <w:pPr>
        <w:spacing w:after="60" w:before="200"/>
      </w:pPr>
      <w:r>
        <w:rPr>
          <w:rFonts w:ascii="Calibri" w:cs="Calibri" w:eastAsia="Calibri" w:hAnsi="Calibri"/>
          <w:b/>
          <w:bCs/>
          <w:color w:val="0B2027"/>
          <w:sz w:val="22"/>
          <w:szCs w:val="22"/>
        </w:rPr>
        <w:t xml:space="preserve">F6. Real-world tools should start rule-based, then earn ML</w:t>
      </w:r>
    </w:p>
    <w:p>
      <w:pPr>
        <w:spacing w:after="80"/>
      </w:pPr>
      <w:r>
        <w:rPr>
          <w:rFonts w:ascii="Calibri" w:cs="Calibri" w:eastAsia="Calibri" w:hAnsi="Calibri"/>
          <w:b w:val="false"/>
          <w:bCs w:val="false"/>
          <w:color w:val="0B2027"/>
          <w:sz w:val="22"/>
          <w:szCs w:val="22"/>
        </w:rPr>
        <w:t xml:space="preserve">P5 (VCWiz / MIT 2018) documents the failure of a pure kNN recommender due to sparse data, and the success of a rule-based ranker with attention-based signals. The lesson: start simple, layer ML as data accumulates.</w:t>
      </w:r>
    </w:p>
    <w:p>
      <w:r>
        <w:br w:type="page"/>
      </w:r>
    </w:p>
    <w:p>
      <w:pPr>
        <w:pStyle w:val="Heading1"/>
        <w:spacing w:after="200" w:before="360"/>
      </w:pPr>
      <w:r>
        <w:rPr>
          <w:rFonts w:ascii="Georgia" w:cs="Georgia" w:eastAsia="Georgia" w:hAnsi="Georgia"/>
          <w:b/>
          <w:bCs/>
          <w:color w:val="0B2027"/>
          <w:sz w:val="34"/>
          <w:szCs w:val="34"/>
        </w:rPr>
        <w:t xml:space="preserve">9. Design Decisions</w:t>
      </w:r>
    </w:p>
    <w:p>
      <w:pPr>
        <w:spacing w:after="200"/>
      </w:pPr>
      <w:r>
        <w:rPr>
          <w:rFonts w:ascii="Calibri" w:cs="Calibri" w:eastAsia="Calibri" w:hAnsi="Calibri"/>
          <w:b w:val="false"/>
          <w:bCs w:val="false"/>
          <w:color w:val="0B2027"/>
          <w:sz w:val="22"/>
          <w:szCs w:val="22"/>
        </w:rPr>
        <w:t xml:space="preserve">Each decision is traceable to the research finding(s) that justify it. This is the trail your review panel and future investors will want to see.</w:t>
      </w:r>
    </w:p>
    <w:tbl>
      <w:tblPr>
        <w:tblW w:type="dxa" w:w="9600"/>
        <w:tblBorders>
          <w:top w:val="single" w:color="E3EFEE" w:sz="4"/>
          <w:left w:val="none"/>
          <w:bottom w:val="single" w:color="E3EFEE" w:sz="4"/>
          <w:right w:val="none"/>
          <w:insideH w:val="single" w:color="E3EFEE" w:sz="2"/>
          <w:insideV w:val="none"/>
        </w:tblBorders>
      </w:tblPr>
      <w:tblGrid>
        <w:gridCol w:w="700"/>
        <w:gridCol w:w="6000"/>
        <w:gridCol w:w="2900"/>
      </w:tblGrid>
      <w:tr>
        <w:trPr>
          <w:tblHeader/>
        </w:trPr>
        <w:tc>
          <w:tcPr>
            <w:tcW w:type="dxa" w:w="7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t>
            </w:r>
          </w:p>
        </w:tc>
        <w:tc>
          <w:tcPr>
            <w:tcW w:type="dxa" w:w="60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Decision</w:t>
            </w:r>
          </w:p>
        </w:tc>
        <w:tc>
          <w:tcPr>
            <w:tcW w:type="dxa" w:w="29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Justified by</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D1</w:t>
            </w:r>
          </w:p>
        </w:tc>
        <w:tc>
          <w:tcPr>
            <w:tcW w:type="dxa" w:w="6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Use a weighted hybrid recommender: score = α·content_similarity + (1−α)·collaborative_signal, α = 0.6 initially, tunable per user segment.</w:t>
            </w:r>
          </w:p>
        </w:tc>
        <w:tc>
          <w:tcPr>
            <w:tcW w:type="dxa" w:w="29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F1, F6 (P1, P5, P8)</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D2</w:t>
            </w:r>
          </w:p>
        </w:tc>
        <w:tc>
          <w:tcPr>
            <w:tcW w:type="dxa" w:w="6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Represent profiles as 384-dim sentence-transformer embeddings (MiniLM), with TF-IDF as a fallback baseline for A/B testing.</w:t>
            </w:r>
          </w:p>
        </w:tc>
        <w:tc>
          <w:tcPr>
            <w:tcW w:type="dxa" w:w="29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F1 (P1, P2, P6)</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D3</w:t>
            </w:r>
          </w:p>
        </w:tc>
        <w:tc>
          <w:tcPr>
            <w:tcW w:type="dxa" w:w="6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Explicitly model domain-preference vectors (sector, stage, geography, cheque size) for investors — not just latent factors — to enable warm-start scoring.</w:t>
            </w:r>
          </w:p>
        </w:tc>
        <w:tc>
          <w:tcPr>
            <w:tcW w:type="dxa" w:w="29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F2 (P7)</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D4</w:t>
            </w:r>
          </w:p>
        </w:tc>
        <w:tc>
          <w:tcPr>
            <w:tcW w:type="dxa" w:w="6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Every match ships with a structured, parameterized explanation ('why this match') generated from the top contributing features.</w:t>
            </w:r>
          </w:p>
        </w:tc>
        <w:tc>
          <w:tcPr>
            <w:tcW w:type="dxa" w:w="29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F3 (P4)</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D5</w:t>
            </w:r>
          </w:p>
        </w:tc>
        <w:tc>
          <w:tcPr>
            <w:tcW w:type="dxa" w:w="6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Layer a RAG-based semantic search assistant on top of the vector DB, letting users query in natural language ('fintech investors who've backed Pune startups').</w:t>
            </w:r>
          </w:p>
        </w:tc>
        <w:tc>
          <w:tcPr>
            <w:tcW w:type="dxa" w:w="29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F4, F5 (P1, P2, P3)</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D6</w:t>
            </w:r>
          </w:p>
        </w:tc>
        <w:tc>
          <w:tcPr>
            <w:tcW w:type="dxa" w:w="6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Feedback loop: accept/reject signals + meeting outcomes retrain the collaborative filter weekly. This is what makes cold-start recover over time.</w:t>
            </w:r>
          </w:p>
        </w:tc>
        <w:tc>
          <w:tcPr>
            <w:tcW w:type="dxa" w:w="29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F2, F6 (P3, P5, P7)</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D7</w:t>
            </w:r>
          </w:p>
        </w:tc>
        <w:tc>
          <w:tcPr>
            <w:tcW w:type="dxa" w:w="6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Start with rule-based ranking and heuristic filters; earn the right to run ML as interaction data accumulates. First 500 users get a hybrid deterministic ranker; ML kicks in once we have ≥ 2,000 accept/reject events per segment.</w:t>
            </w:r>
          </w:p>
        </w:tc>
        <w:tc>
          <w:tcPr>
            <w:tcW w:type="dxa" w:w="29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F6 (P5)</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D8</w:t>
            </w:r>
          </w:p>
        </w:tc>
        <w:tc>
          <w:tcPr>
            <w:tcW w:type="dxa" w:w="6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Keep matches private (no public deal-room) to stay compliant with SEBI's public-solicitation restrictions.</w:t>
            </w:r>
          </w:p>
        </w:tc>
        <w:tc>
          <w:tcPr>
            <w:tcW w:type="dxa" w:w="29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Section 6 (Regulatory)</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D9</w:t>
            </w:r>
          </w:p>
        </w:tc>
        <w:tc>
          <w:tcPr>
            <w:tcW w:type="dxa" w:w="6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Add a Trust &amp; Responsiveness Score on both sides — computed from response rate, meeting completion, follow-through — that feeds back into ranking. Addresses the trust deficit competitors ignore.</w:t>
            </w:r>
          </w:p>
        </w:tc>
        <w:tc>
          <w:tcPr>
            <w:tcW w:type="dxa" w:w="29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Section 5.1 (gap), F3</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D10</w:t>
            </w:r>
          </w:p>
        </w:tc>
        <w:tc>
          <w:tcPr>
            <w:tcW w:type="dxa" w:w="6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Benchmark against P4 and P7's reported precision/recall as our Day-1 evaluation targets. Ship no v1 that beats fewer than 2 published baselines.</w:t>
            </w:r>
          </w:p>
        </w:tc>
        <w:tc>
          <w:tcPr>
            <w:tcW w:type="dxa" w:w="29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F3, F6 (P3, P4)</w:t>
            </w:r>
          </w:p>
        </w:tc>
      </w:tr>
    </w:tbl>
    <w:p>
      <w:r>
        <w:br w:type="page"/>
      </w:r>
    </w:p>
    <w:p>
      <w:pPr>
        <w:pStyle w:val="Heading1"/>
        <w:spacing w:after="200" w:before="360"/>
      </w:pPr>
      <w:r>
        <w:rPr>
          <w:rFonts w:ascii="Georgia" w:cs="Georgia" w:eastAsia="Georgia" w:hAnsi="Georgia"/>
          <w:b/>
          <w:bCs/>
          <w:color w:val="0B2027"/>
          <w:sz w:val="34"/>
          <w:szCs w:val="34"/>
        </w:rPr>
        <w:t xml:space="preserve">10. Open Questions &amp; Risks</w:t>
      </w:r>
    </w:p>
    <w:p>
      <w:pPr>
        <w:spacing w:after="160"/>
      </w:pPr>
      <w:r>
        <w:rPr>
          <w:rFonts w:ascii="Calibri" w:cs="Calibri" w:eastAsia="Calibri" w:hAnsi="Calibri"/>
          <w:b w:val="false"/>
          <w:bCs w:val="false"/>
          <w:color w:val="0B2027"/>
          <w:sz w:val="22"/>
          <w:szCs w:val="22"/>
        </w:rPr>
        <w:t xml:space="preserve">Deliberately calling out what we don't yet know — these become validation targets for the next phase.</w:t>
      </w:r>
    </w:p>
    <w:p>
      <w:pPr>
        <w:spacing w:after="40" w:before="160"/>
      </w:pPr>
      <w:r>
        <w:rPr>
          <w:rFonts w:ascii="Calibri" w:cs="Calibri" w:eastAsia="Calibri" w:hAnsi="Calibri"/>
          <w:b/>
          <w:bCs/>
          <w:color w:val="028090"/>
          <w:sz w:val="22"/>
          <w:szCs w:val="22"/>
        </w:rPr>
        <w:t xml:space="preserve">Q1. Data acquisition for investor profiles</w:t>
      </w:r>
    </w:p>
    <w:p>
      <w:pPr>
        <w:spacing w:after="60"/>
      </w:pPr>
      <w:r>
        <w:rPr>
          <w:rFonts w:ascii="Calibri" w:cs="Calibri" w:eastAsia="Calibri" w:hAnsi="Calibri"/>
          <w:b w:val="false"/>
          <w:bCs w:val="false"/>
          <w:color w:val="0B2027"/>
          <w:sz w:val="22"/>
          <w:szCs w:val="22"/>
        </w:rPr>
        <w:t xml:space="preserve">Public data on Indian investors is scattered. Do we scrape (legal risk), partner (slow), or crowd-source (cold-start problem for the platform itself)?</w:t>
      </w:r>
    </w:p>
    <w:p>
      <w:pPr>
        <w:spacing w:after="40" w:before="160"/>
      </w:pPr>
      <w:r>
        <w:rPr>
          <w:rFonts w:ascii="Calibri" w:cs="Calibri" w:eastAsia="Calibri" w:hAnsi="Calibri"/>
          <w:b/>
          <w:bCs/>
          <w:color w:val="028090"/>
          <w:sz w:val="22"/>
          <w:szCs w:val="22"/>
        </w:rPr>
        <w:t xml:space="preserve">Q2. Mentor-side supply</w:t>
      </w:r>
    </w:p>
    <w:p>
      <w:pPr>
        <w:spacing w:after="60"/>
      </w:pPr>
      <w:r>
        <w:rPr>
          <w:rFonts w:ascii="Calibri" w:cs="Calibri" w:eastAsia="Calibri" w:hAnsi="Calibri"/>
          <w:b w:val="false"/>
          <w:bCs w:val="false"/>
          <w:color w:val="0B2027"/>
          <w:sz w:val="22"/>
          <w:szCs w:val="22"/>
        </w:rPr>
        <w:t xml:space="preserve">Mentor discovery has zero existing benchmark. How do we bootstrap the first 100 quality mentors before the platform has founders to attract them?</w:t>
      </w:r>
    </w:p>
    <w:p>
      <w:pPr>
        <w:spacing w:after="40" w:before="160"/>
      </w:pPr>
      <w:r>
        <w:rPr>
          <w:rFonts w:ascii="Calibri" w:cs="Calibri" w:eastAsia="Calibri" w:hAnsi="Calibri"/>
          <w:b/>
          <w:bCs/>
          <w:color w:val="028090"/>
          <w:sz w:val="22"/>
          <w:szCs w:val="22"/>
        </w:rPr>
        <w:t xml:space="preserve">Q3. Monetization timing</w:t>
      </w:r>
    </w:p>
    <w:p>
      <w:pPr>
        <w:spacing w:after="60"/>
      </w:pPr>
      <w:r>
        <w:rPr>
          <w:rFonts w:ascii="Calibri" w:cs="Calibri" w:eastAsia="Calibri" w:hAnsi="Calibri"/>
          <w:b w:val="false"/>
          <w:bCs w:val="false"/>
          <w:color w:val="0B2027"/>
          <w:sz w:val="22"/>
          <w:szCs w:val="22"/>
        </w:rPr>
        <w:t xml:space="preserve">Charge founders (kills viral loop), charge investors (small market, high value), or charge on successful match (hard to attribute)? Deferred to Business Architecture doc.</w:t>
      </w:r>
    </w:p>
    <w:p>
      <w:pPr>
        <w:spacing w:after="40" w:before="160"/>
      </w:pPr>
      <w:r>
        <w:rPr>
          <w:rFonts w:ascii="Calibri" w:cs="Calibri" w:eastAsia="Calibri" w:hAnsi="Calibri"/>
          <w:b/>
          <w:bCs/>
          <w:color w:val="028090"/>
          <w:sz w:val="22"/>
          <w:szCs w:val="22"/>
        </w:rPr>
        <w:t xml:space="preserve">Q4. LLM cost at scale</w:t>
      </w:r>
    </w:p>
    <w:p>
      <w:pPr>
        <w:spacing w:after="60"/>
      </w:pPr>
      <w:r>
        <w:rPr>
          <w:rFonts w:ascii="Calibri" w:cs="Calibri" w:eastAsia="Calibri" w:hAnsi="Calibri"/>
          <w:b w:val="false"/>
          <w:bCs w:val="false"/>
          <w:color w:val="0B2027"/>
          <w:sz w:val="22"/>
          <w:szCs w:val="22"/>
        </w:rPr>
        <w:t xml:space="preserve">RAG queries and explanation generation cost real money. What's the per-match cost ceiling before we need to move explanation generation to a smaller fine-tuned model?</w:t>
      </w:r>
    </w:p>
    <w:p>
      <w:pPr>
        <w:spacing w:after="40" w:before="160"/>
      </w:pPr>
      <w:r>
        <w:rPr>
          <w:rFonts w:ascii="Calibri" w:cs="Calibri" w:eastAsia="Calibri" w:hAnsi="Calibri"/>
          <w:b/>
          <w:bCs/>
          <w:color w:val="028090"/>
          <w:sz w:val="22"/>
          <w:szCs w:val="22"/>
        </w:rPr>
        <w:t xml:space="preserve">Q5. Evaluation without real users</w:t>
      </w:r>
    </w:p>
    <w:p>
      <w:pPr>
        <w:spacing w:after="60"/>
      </w:pPr>
      <w:r>
        <w:rPr>
          <w:rFonts w:ascii="Calibri" w:cs="Calibri" w:eastAsia="Calibri" w:hAnsi="Calibri"/>
          <w:b w:val="false"/>
          <w:bCs w:val="false"/>
          <w:color w:val="0B2027"/>
          <w:sz w:val="22"/>
          <w:szCs w:val="22"/>
        </w:rPr>
        <w:t xml:space="preserve">P3 gives us AgentRecBench scenarios, but our platform doesn't have real interaction data yet. Simulated user studies with founder-persona LLM agents may be the interim answer.</w:t>
      </w:r>
    </w:p>
    <w:p>
      <w:pPr>
        <w:spacing w:after="40" w:before="160"/>
      </w:pPr>
      <w:r>
        <w:rPr>
          <w:rFonts w:ascii="Calibri" w:cs="Calibri" w:eastAsia="Calibri" w:hAnsi="Calibri"/>
          <w:b/>
          <w:bCs/>
          <w:color w:val="028090"/>
          <w:sz w:val="22"/>
          <w:szCs w:val="22"/>
        </w:rPr>
        <w:t xml:space="preserve">Q6. Regulatory grey area on cross-border investors</w:t>
      </w:r>
    </w:p>
    <w:p>
      <w:pPr>
        <w:spacing w:after="60"/>
      </w:pPr>
      <w:r>
        <w:rPr>
          <w:rFonts w:ascii="Calibri" w:cs="Calibri" w:eastAsia="Calibri" w:hAnsi="Calibri"/>
          <w:b w:val="false"/>
          <w:bCs w:val="false"/>
          <w:color w:val="0B2027"/>
          <w:sz w:val="22"/>
          <w:szCs w:val="22"/>
        </w:rPr>
        <w:t xml:space="preserve">SEBI vs. FEMA rules for matching Indian founders with foreign investors (angel or VC) are ambiguous. Legal review needed before we open that flow.</w:t>
      </w:r>
    </w:p>
    <w:p>
      <w:r>
        <w:br w:type="page"/>
      </w:r>
    </w:p>
    <w:p>
      <w:pPr>
        <w:pStyle w:val="Heading1"/>
        <w:spacing w:after="200" w:before="360"/>
      </w:pPr>
      <w:r>
        <w:rPr>
          <w:rFonts w:ascii="Georgia" w:cs="Georgia" w:eastAsia="Georgia" w:hAnsi="Georgia"/>
          <w:b/>
          <w:bCs/>
          <w:color w:val="0B2027"/>
          <w:sz w:val="34"/>
          <w:szCs w:val="34"/>
        </w:rPr>
        <w:t xml:space="preserve">11. References</w:t>
      </w:r>
    </w:p>
    <w:p>
      <w:pPr>
        <w:spacing w:after="100" w:before="100"/>
      </w:pPr>
      <w:r>
        <w:rPr>
          <w:rFonts w:ascii="Calibri" w:cs="Calibri" w:eastAsia="Calibri" w:hAnsi="Calibri"/>
          <w:b/>
          <w:bCs/>
          <w:color w:val="028090"/>
          <w:sz w:val="22"/>
          <w:szCs w:val="22"/>
        </w:rPr>
        <w:t xml:space="preserve">Academic papers</w:t>
      </w:r>
    </w:p>
    <w:p>
      <w:pPr>
        <w:spacing w:after="100"/>
        <w:ind w:left="360" w:hanging="360"/>
      </w:pPr>
      <w:r>
        <w:rPr>
          <w:rFonts w:ascii="Calibri" w:cs="Calibri" w:eastAsia="Calibri" w:hAnsi="Calibri"/>
          <w:b/>
          <w:bCs/>
          <w:color w:val="00A896"/>
          <w:sz w:val="20"/>
          <w:szCs w:val="20"/>
        </w:rPr>
        <w:t xml:space="preserve">[1] </w:t>
      </w:r>
      <w:r>
        <w:rPr>
          <w:rFonts w:ascii="Calibri" w:cs="Calibri" w:eastAsia="Calibri" w:hAnsi="Calibri"/>
          <w:color w:val="0B2027"/>
          <w:sz w:val="20"/>
          <w:szCs w:val="20"/>
        </w:rPr>
        <w:t xml:space="preserve">Iurii Nazarov et al. — </w:t>
      </w:r>
      <w:r>
        <w:rPr>
          <w:rFonts w:ascii="Calibri" w:cs="Calibri" w:eastAsia="Calibri" w:hAnsi="Calibri"/>
          <w:color w:val="0B2027"/>
          <w:sz w:val="20"/>
          <w:szCs w:val="20"/>
        </w:rPr>
        <w:t xml:space="preserve">"The Semantic Design Space of Retrieval-Augmented Recommender Systems: A Systematic Review of LLM-Based Approaches." </w:t>
      </w:r>
      <w:r>
        <w:rPr>
          <w:rFonts w:ascii="Calibri" w:cs="Calibri" w:eastAsia="Calibri" w:hAnsi="Calibri"/>
          <w:color w:val="5C7A78"/>
          <w:sz w:val="20"/>
          <w:szCs w:val="20"/>
        </w:rPr>
        <w:t xml:space="preserve">ScienceDirect — Journal of King Saud University (2026). </w:t>
      </w:r>
      <w:hyperlink w:history="1" r:id="rIdvatxxcug2-4uvt8m3f0un">
        <w:r>
          <w:rPr>
            <w:rFonts w:ascii="Calibri" w:cs="Calibri" w:eastAsia="Calibri" w:hAnsi="Calibri"/>
            <w:color w:val="028090"/>
            <w:sz w:val="20"/>
            <w:szCs w:val="20"/>
            <w:u w:val="single"/>
          </w:rPr>
          <w:t xml:space="preserve">https://www.sciencedirect.com/org/science/article/pii/S1546221826004558</w:t>
        </w:r>
      </w:hyperlink>
    </w:p>
    <w:p>
      <w:pPr>
        <w:spacing w:after="100"/>
        <w:ind w:left="360" w:hanging="360"/>
      </w:pPr>
      <w:r>
        <w:rPr>
          <w:rFonts w:ascii="Calibri" w:cs="Calibri" w:eastAsia="Calibri" w:hAnsi="Calibri"/>
          <w:b/>
          <w:bCs/>
          <w:color w:val="00A896"/>
          <w:sz w:val="20"/>
          <w:szCs w:val="20"/>
        </w:rPr>
        <w:t xml:space="preserve">[2] </w:t>
      </w:r>
      <w:r>
        <w:rPr>
          <w:rFonts w:ascii="Calibri" w:cs="Calibri" w:eastAsia="Calibri" w:hAnsi="Calibri"/>
          <w:color w:val="0B2027"/>
          <w:sz w:val="20"/>
          <w:szCs w:val="20"/>
        </w:rPr>
        <w:t xml:space="preserve">D. Nawara et al. — </w:t>
      </w:r>
      <w:r>
        <w:rPr>
          <w:rFonts w:ascii="Calibri" w:cs="Calibri" w:eastAsia="Calibri" w:hAnsi="Calibri"/>
          <w:color w:val="0B2027"/>
          <w:sz w:val="20"/>
          <w:szCs w:val="20"/>
        </w:rPr>
        <w:t xml:space="preserve">"A Comprehensive Survey on LLM-Powered Recommender Systems: From Discriminative, Generative to Multi-Modal Paradigms." </w:t>
      </w:r>
      <w:r>
        <w:rPr>
          <w:rFonts w:ascii="Calibri" w:cs="Calibri" w:eastAsia="Calibri" w:hAnsi="Calibri"/>
          <w:color w:val="5C7A78"/>
          <w:sz w:val="20"/>
          <w:szCs w:val="20"/>
        </w:rPr>
        <w:t xml:space="preserve">IEEE Access (2025). </w:t>
      </w:r>
      <w:hyperlink w:history="1" r:id="rIdqpkps7uckst_veorlowmo">
        <w:r>
          <w:rPr>
            <w:rFonts w:ascii="Calibri" w:cs="Calibri" w:eastAsia="Calibri" w:hAnsi="Calibri"/>
            <w:color w:val="028090"/>
            <w:sz w:val="20"/>
            <w:szCs w:val="20"/>
            <w:u w:val="single"/>
          </w:rPr>
          <w:t xml:space="preserve">https://ieeexplore.ieee.org/document/11132234</w:t>
        </w:r>
      </w:hyperlink>
    </w:p>
    <w:p>
      <w:pPr>
        <w:spacing w:after="100"/>
        <w:ind w:left="360" w:hanging="360"/>
      </w:pPr>
      <w:r>
        <w:rPr>
          <w:rFonts w:ascii="Calibri" w:cs="Calibri" w:eastAsia="Calibri" w:hAnsi="Calibri"/>
          <w:b/>
          <w:bCs/>
          <w:color w:val="00A896"/>
          <w:sz w:val="20"/>
          <w:szCs w:val="20"/>
        </w:rPr>
        <w:t xml:space="preserve">[3] </w:t>
      </w:r>
      <w:r>
        <w:rPr>
          <w:rFonts w:ascii="Calibri" w:cs="Calibri" w:eastAsia="Calibri" w:hAnsi="Calibri"/>
          <w:color w:val="0B2027"/>
          <w:sz w:val="20"/>
          <w:szCs w:val="20"/>
        </w:rPr>
        <w:t xml:space="preserve">Yu Shang et al. — </w:t>
      </w:r>
      <w:r>
        <w:rPr>
          <w:rFonts w:ascii="Calibri" w:cs="Calibri" w:eastAsia="Calibri" w:hAnsi="Calibri"/>
          <w:color w:val="0B2027"/>
          <w:sz w:val="20"/>
          <w:szCs w:val="20"/>
        </w:rPr>
        <w:t xml:space="preserve">"AgentRecBench: Benchmarking LLM Agent-based Personalized Recommender Systems." </w:t>
      </w:r>
      <w:r>
        <w:rPr>
          <w:rFonts w:ascii="Calibri" w:cs="Calibri" w:eastAsia="Calibri" w:hAnsi="Calibri"/>
          <w:color w:val="5C7A78"/>
          <w:sz w:val="20"/>
          <w:szCs w:val="20"/>
        </w:rPr>
        <w:t xml:space="preserve">arXiv preprint (May 2025). </w:t>
      </w:r>
      <w:hyperlink w:history="1" r:id="rIdjkk2mlkeqdqgdeq8hz6j8">
        <w:r>
          <w:rPr>
            <w:rFonts w:ascii="Calibri" w:cs="Calibri" w:eastAsia="Calibri" w:hAnsi="Calibri"/>
            <w:color w:val="028090"/>
            <w:sz w:val="20"/>
            <w:szCs w:val="20"/>
            <w:u w:val="single"/>
          </w:rPr>
          <w:t xml:space="preserve">https://arxiv.org/abs/2505.19623</w:t>
        </w:r>
      </w:hyperlink>
    </w:p>
    <w:p>
      <w:pPr>
        <w:spacing w:after="100"/>
        <w:ind w:left="360" w:hanging="360"/>
      </w:pPr>
      <w:r>
        <w:rPr>
          <w:rFonts w:ascii="Calibri" w:cs="Calibri" w:eastAsia="Calibri" w:hAnsi="Calibri"/>
          <w:b/>
          <w:bCs/>
          <w:color w:val="00A896"/>
          <w:sz w:val="20"/>
          <w:szCs w:val="20"/>
        </w:rPr>
        <w:t xml:space="preserve">[4] </w:t>
      </w:r>
      <w:r>
        <w:rPr>
          <w:rFonts w:ascii="Calibri" w:cs="Calibri" w:eastAsia="Calibri" w:hAnsi="Calibri"/>
          <w:color w:val="0B2027"/>
          <w:sz w:val="20"/>
          <w:szCs w:val="20"/>
        </w:rPr>
        <w:t xml:space="preserve">Simerjot Kaur et al. (J.P. Morgan AI Research) — </w:t>
      </w:r>
      <w:r>
        <w:rPr>
          <w:rFonts w:ascii="Calibri" w:cs="Calibri" w:eastAsia="Calibri" w:hAnsi="Calibri"/>
          <w:color w:val="0B2027"/>
          <w:sz w:val="20"/>
          <w:szCs w:val="20"/>
        </w:rPr>
        <w:t xml:space="preserve">"Parameterized Explanations for Investor / Company Matching." </w:t>
      </w:r>
      <w:r>
        <w:rPr>
          <w:rFonts w:ascii="Calibri" w:cs="Calibri" w:eastAsia="Calibri" w:hAnsi="Calibri"/>
          <w:color w:val="5C7A78"/>
          <w:sz w:val="20"/>
          <w:szCs w:val="20"/>
        </w:rPr>
        <w:t xml:space="preserve">arXiv preprint (Oct 2021) — foundational. </w:t>
      </w:r>
      <w:hyperlink w:history="1" r:id="rId47o28fxpdj37glm2g9kvk">
        <w:r>
          <w:rPr>
            <w:rFonts w:ascii="Calibri" w:cs="Calibri" w:eastAsia="Calibri" w:hAnsi="Calibri"/>
            <w:color w:val="028090"/>
            <w:sz w:val="20"/>
            <w:szCs w:val="20"/>
            <w:u w:val="single"/>
          </w:rPr>
          <w:t xml:space="preserve">https://arxiv.org/abs/2111.01911</w:t>
        </w:r>
      </w:hyperlink>
    </w:p>
    <w:p>
      <w:pPr>
        <w:spacing w:after="100"/>
        <w:ind w:left="360" w:hanging="360"/>
      </w:pPr>
      <w:r>
        <w:rPr>
          <w:rFonts w:ascii="Calibri" w:cs="Calibri" w:eastAsia="Calibri" w:hAnsi="Calibri"/>
          <w:b/>
          <w:bCs/>
          <w:color w:val="00A896"/>
          <w:sz w:val="20"/>
          <w:szCs w:val="20"/>
        </w:rPr>
        <w:t xml:space="preserve">[5] </w:t>
      </w:r>
      <w:r>
        <w:rPr>
          <w:rFonts w:ascii="Calibri" w:cs="Calibri" w:eastAsia="Calibri" w:hAnsi="Calibri"/>
          <w:color w:val="0B2027"/>
          <w:sz w:val="20"/>
          <w:szCs w:val="20"/>
        </w:rPr>
        <w:t xml:space="preserve">Yasyf Mohamedali (MIT master's thesis) — </w:t>
      </w:r>
      <w:r>
        <w:rPr>
          <w:rFonts w:ascii="Calibri" w:cs="Calibri" w:eastAsia="Calibri" w:hAnsi="Calibri"/>
          <w:color w:val="0B2027"/>
          <w:sz w:val="20"/>
          <w:szCs w:val="20"/>
        </w:rPr>
        <w:t xml:space="preserve">"Matching Startup Founders to Investors: A Tool and a Study." </w:t>
      </w:r>
      <w:r>
        <w:rPr>
          <w:rFonts w:ascii="Calibri" w:cs="Calibri" w:eastAsia="Calibri" w:hAnsi="Calibri"/>
          <w:color w:val="5C7A78"/>
          <w:sz w:val="20"/>
          <w:szCs w:val="20"/>
        </w:rPr>
        <w:t xml:space="preserve">MIT / arXiv 1806.03241 (2018) — foundational. </w:t>
      </w:r>
      <w:hyperlink w:history="1" r:id="rIdb-kkfr-qed53_oyt0d0lj">
        <w:r>
          <w:rPr>
            <w:rFonts w:ascii="Calibri" w:cs="Calibri" w:eastAsia="Calibri" w:hAnsi="Calibri"/>
            <w:color w:val="028090"/>
            <w:sz w:val="20"/>
            <w:szCs w:val="20"/>
            <w:u w:val="single"/>
          </w:rPr>
          <w:t xml:space="preserve">https://arxiv.org/abs/1806.03241</w:t>
        </w:r>
      </w:hyperlink>
    </w:p>
    <w:p>
      <w:pPr>
        <w:spacing w:after="100"/>
        <w:ind w:left="360" w:hanging="360"/>
      </w:pPr>
      <w:r>
        <w:rPr>
          <w:rFonts w:ascii="Calibri" w:cs="Calibri" w:eastAsia="Calibri" w:hAnsi="Calibri"/>
          <w:b/>
          <w:bCs/>
          <w:color w:val="00A896"/>
          <w:sz w:val="20"/>
          <w:szCs w:val="20"/>
        </w:rPr>
        <w:t xml:space="preserve">[6] </w:t>
      </w:r>
      <w:r>
        <w:rPr>
          <w:rFonts w:ascii="Calibri" w:cs="Calibri" w:eastAsia="Calibri" w:hAnsi="Calibri"/>
          <w:color w:val="0B2027"/>
          <w:sz w:val="20"/>
          <w:szCs w:val="20"/>
        </w:rPr>
        <w:t xml:space="preserve">Chittagong University of Engineering and Technology research group — </w:t>
      </w:r>
      <w:r>
        <w:rPr>
          <w:rFonts w:ascii="Calibri" w:cs="Calibri" w:eastAsia="Calibri" w:hAnsi="Calibri"/>
          <w:color w:val="0B2027"/>
          <w:sz w:val="20"/>
          <w:szCs w:val="20"/>
        </w:rPr>
        <w:t xml:space="preserve">"A Machine Learning-Based Suitable Startup Recommendation Scheme and Investor Assistance Mobile Application." </w:t>
      </w:r>
      <w:r>
        <w:rPr>
          <w:rFonts w:ascii="Calibri" w:cs="Calibri" w:eastAsia="Calibri" w:hAnsi="Calibri"/>
          <w:color w:val="5C7A78"/>
          <w:sz w:val="20"/>
          <w:szCs w:val="20"/>
        </w:rPr>
        <w:t xml:space="preserve">ResearchGate (2024). </w:t>
      </w:r>
      <w:hyperlink w:history="1" r:id="rIdmfryjg-o-m7bcsi03robu">
        <w:r>
          <w:rPr>
            <w:rFonts w:ascii="Calibri" w:cs="Calibri" w:eastAsia="Calibri" w:hAnsi="Calibri"/>
            <w:color w:val="028090"/>
            <w:sz w:val="20"/>
            <w:szCs w:val="20"/>
            <w:u w:val="single"/>
          </w:rPr>
          <w:t xml:space="preserve">https://www.researchgate.net/publication/387261418</w:t>
        </w:r>
      </w:hyperlink>
    </w:p>
    <w:p>
      <w:pPr>
        <w:spacing w:after="100"/>
        <w:ind w:left="360" w:hanging="360"/>
      </w:pPr>
      <w:r>
        <w:rPr>
          <w:rFonts w:ascii="Calibri" w:cs="Calibri" w:eastAsia="Calibri" w:hAnsi="Calibri"/>
          <w:b/>
          <w:bCs/>
          <w:color w:val="00A896"/>
          <w:sz w:val="20"/>
          <w:szCs w:val="20"/>
        </w:rPr>
        <w:t xml:space="preserve">[7] </w:t>
      </w:r>
      <w:r>
        <w:rPr>
          <w:rFonts w:ascii="Calibri" w:cs="Calibri" w:eastAsia="Calibri" w:hAnsi="Calibri"/>
          <w:color w:val="0B2027"/>
          <w:sz w:val="20"/>
          <w:szCs w:val="20"/>
        </w:rPr>
        <w:t xml:space="preserve">Shuqi Xu et al. — </w:t>
      </w:r>
      <w:r>
        <w:rPr>
          <w:rFonts w:ascii="Calibri" w:cs="Calibri" w:eastAsia="Calibri" w:hAnsi="Calibri"/>
          <w:color w:val="0B2027"/>
          <w:sz w:val="20"/>
          <w:szCs w:val="20"/>
        </w:rPr>
        <w:t xml:space="preserve">"Recommending Investors for New Startups by Integrating Network Diffusion and Investors' Domain Preference." </w:t>
      </w:r>
      <w:r>
        <w:rPr>
          <w:rFonts w:ascii="Calibri" w:cs="Calibri" w:eastAsia="Calibri" w:hAnsi="Calibri"/>
          <w:color w:val="5C7A78"/>
          <w:sz w:val="20"/>
          <w:szCs w:val="20"/>
        </w:rPr>
        <w:t xml:space="preserve">Information Sciences, Elsevier (2020). </w:t>
      </w:r>
      <w:hyperlink w:history="1" r:id="rIdoojrnt1rdicbre3oolhtn">
        <w:r>
          <w:rPr>
            <w:rFonts w:ascii="Calibri" w:cs="Calibri" w:eastAsia="Calibri" w:hAnsi="Calibri"/>
            <w:color w:val="028090"/>
            <w:sz w:val="20"/>
            <w:szCs w:val="20"/>
            <w:u w:val="single"/>
          </w:rPr>
          <w:t xml:space="preserve">https://www.sciencedirect.com/science/article/abs/pii/S0020025519310904</w:t>
        </w:r>
      </w:hyperlink>
    </w:p>
    <w:p>
      <w:pPr>
        <w:spacing w:after="100"/>
        <w:ind w:left="360" w:hanging="360"/>
      </w:pPr>
      <w:r>
        <w:rPr>
          <w:rFonts w:ascii="Calibri" w:cs="Calibri" w:eastAsia="Calibri" w:hAnsi="Calibri"/>
          <w:b/>
          <w:bCs/>
          <w:color w:val="00A896"/>
          <w:sz w:val="20"/>
          <w:szCs w:val="20"/>
        </w:rPr>
        <w:t xml:space="preserve">[8] </w:t>
      </w:r>
      <w:r>
        <w:rPr>
          <w:rFonts w:ascii="Calibri" w:cs="Calibri" w:eastAsia="Calibri" w:hAnsi="Calibri"/>
          <w:color w:val="0B2027"/>
          <w:sz w:val="20"/>
          <w:szCs w:val="20"/>
        </w:rPr>
        <w:t xml:space="preserve">Erion Çano, Maurizio Morisio — </w:t>
      </w:r>
      <w:r>
        <w:rPr>
          <w:rFonts w:ascii="Calibri" w:cs="Calibri" w:eastAsia="Calibri" w:hAnsi="Calibri"/>
          <w:color w:val="0B2027"/>
          <w:sz w:val="20"/>
          <w:szCs w:val="20"/>
        </w:rPr>
        <w:t xml:space="preserve">"Hybrid Recommender Systems: A Systematic Literature Review." </w:t>
      </w:r>
      <w:r>
        <w:rPr>
          <w:rFonts w:ascii="Calibri" w:cs="Calibri" w:eastAsia="Calibri" w:hAnsi="Calibri"/>
          <w:color w:val="5C7A78"/>
          <w:sz w:val="20"/>
          <w:szCs w:val="20"/>
        </w:rPr>
        <w:t xml:space="preserve">arXiv 1901.03888 (2019) — foundational methodology. </w:t>
      </w:r>
      <w:hyperlink w:history="1" r:id="rIda6kxe4oha3udegk6dcxbg">
        <w:r>
          <w:rPr>
            <w:rFonts w:ascii="Calibri" w:cs="Calibri" w:eastAsia="Calibri" w:hAnsi="Calibri"/>
            <w:color w:val="028090"/>
            <w:sz w:val="20"/>
            <w:szCs w:val="20"/>
            <w:u w:val="single"/>
          </w:rPr>
          <w:t xml:space="preserve">https://arxiv.org/abs/1901.03888</w:t>
        </w:r>
      </w:hyperlink>
    </w:p>
    <w:p>
      <w:pPr>
        <w:spacing w:after="100" w:before="200"/>
      </w:pPr>
      <w:r>
        <w:rPr>
          <w:rFonts w:ascii="Calibri" w:cs="Calibri" w:eastAsia="Calibri" w:hAnsi="Calibri"/>
          <w:b/>
          <w:bCs/>
          <w:color w:val="028090"/>
          <w:sz w:val="22"/>
          <w:szCs w:val="22"/>
        </w:rPr>
        <w:t xml:space="preserve">Market &amp; industry sources</w:t>
      </w:r>
    </w:p>
    <w:p>
      <w:pPr>
        <w:spacing w:after="80"/>
        <w:ind w:left="360" w:hanging="360"/>
      </w:pPr>
      <w:r>
        <w:rPr>
          <w:rFonts w:ascii="Calibri" w:cs="Calibri" w:eastAsia="Calibri" w:hAnsi="Calibri"/>
          <w:b/>
          <w:bCs/>
          <w:color w:val="00A896"/>
          <w:sz w:val="20"/>
          <w:szCs w:val="20"/>
        </w:rPr>
        <w:t xml:space="preserve">[M1] </w:t>
      </w:r>
      <w:r>
        <w:rPr>
          <w:rFonts w:ascii="Calibri" w:cs="Calibri" w:eastAsia="Calibri" w:hAnsi="Calibri"/>
          <w:color w:val="0B2027"/>
          <w:sz w:val="20"/>
          <w:szCs w:val="20"/>
        </w:rPr>
        <w:t xml:space="preserve">Nasscom-Zinnov Tech Startup Report 2025 — "Momentum to Maturity". </w:t>
      </w:r>
      <w:hyperlink w:history="1" r:id="rIdfwzccro0wogohugrjwypf">
        <w:r>
          <w:rPr>
            <w:rFonts w:ascii="Calibri" w:cs="Calibri" w:eastAsia="Calibri" w:hAnsi="Calibri"/>
            <w:color w:val="028090"/>
            <w:sz w:val="20"/>
            <w:szCs w:val="20"/>
            <w:u w:val="single"/>
          </w:rPr>
          <w:t xml:space="preserve">https://community.nasscom.in/communities/nasscom-insights/momentum-maturity-indias-tech-startup-ecosystem-strategic-inflection-point-India-tech-startup-report-2025</w:t>
        </w:r>
      </w:hyperlink>
    </w:p>
    <w:p>
      <w:pPr>
        <w:spacing w:after="80"/>
        <w:ind w:left="360" w:hanging="360"/>
      </w:pPr>
      <w:r>
        <w:rPr>
          <w:rFonts w:ascii="Calibri" w:cs="Calibri" w:eastAsia="Calibri" w:hAnsi="Calibri"/>
          <w:b/>
          <w:bCs/>
          <w:color w:val="00A896"/>
          <w:sz w:val="20"/>
          <w:szCs w:val="20"/>
        </w:rPr>
        <w:t xml:space="preserve">[M2] </w:t>
      </w:r>
      <w:r>
        <w:rPr>
          <w:rFonts w:ascii="Calibri" w:cs="Calibri" w:eastAsia="Calibri" w:hAnsi="Calibri"/>
          <w:color w:val="0B2027"/>
          <w:sz w:val="20"/>
          <w:szCs w:val="20"/>
        </w:rPr>
        <w:t xml:space="preserve">Nasscom-Zinnov 2025 — Deep-tech &amp; AI startup landscape. </w:t>
      </w:r>
      <w:hyperlink w:history="1" r:id="rIdlm9wz0rmn4dpjk-tgvdh2">
        <w:r>
          <w:rPr>
            <w:rFonts w:ascii="Calibri" w:cs="Calibri" w:eastAsia="Calibri" w:hAnsi="Calibri"/>
            <w:color w:val="028090"/>
            <w:sz w:val="20"/>
            <w:szCs w:val="20"/>
            <w:u w:val="single"/>
          </w:rPr>
          <w:t xml:space="preserve">https://nasscom.in/knowledge-center/publications/india-generative-ai-startup-landscape-2025-mapping-momentum</w:t>
        </w:r>
      </w:hyperlink>
    </w:p>
    <w:p>
      <w:pPr>
        <w:spacing w:after="80"/>
        <w:ind w:left="360" w:hanging="360"/>
      </w:pPr>
      <w:r>
        <w:rPr>
          <w:rFonts w:ascii="Calibri" w:cs="Calibri" w:eastAsia="Calibri" w:hAnsi="Calibri"/>
          <w:b/>
          <w:bCs/>
          <w:color w:val="00A896"/>
          <w:sz w:val="20"/>
          <w:szCs w:val="20"/>
        </w:rPr>
        <w:t xml:space="preserve">[M3] </w:t>
      </w:r>
      <w:r>
        <w:rPr>
          <w:rFonts w:ascii="Calibri" w:cs="Calibri" w:eastAsia="Calibri" w:hAnsi="Calibri"/>
          <w:color w:val="0B2027"/>
          <w:sz w:val="20"/>
          <w:szCs w:val="20"/>
        </w:rPr>
        <w:t xml:space="preserve">TechCrunch (2025) — India startup funding hits $11B in 2025 (Tracxn data). </w:t>
      </w:r>
      <w:hyperlink w:history="1" r:id="rIdclixndttzes0etuxx40eu">
        <w:r>
          <w:rPr>
            <w:rFonts w:ascii="Calibri" w:cs="Calibri" w:eastAsia="Calibri" w:hAnsi="Calibri"/>
            <w:color w:val="028090"/>
            <w:sz w:val="20"/>
            <w:szCs w:val="20"/>
            <w:u w:val="single"/>
          </w:rPr>
          <w:t xml:space="preserve">https://techcrunch.com/</w:t>
        </w:r>
      </w:hyperlink>
    </w:p>
    <w:p>
      <w:pPr>
        <w:spacing w:after="80"/>
        <w:ind w:left="360" w:hanging="360"/>
      </w:pPr>
      <w:r>
        <w:rPr>
          <w:rFonts w:ascii="Calibri" w:cs="Calibri" w:eastAsia="Calibri" w:hAnsi="Calibri"/>
          <w:b/>
          <w:bCs/>
          <w:color w:val="00A896"/>
          <w:sz w:val="20"/>
          <w:szCs w:val="20"/>
        </w:rPr>
        <w:t xml:space="preserve">[M4] </w:t>
      </w:r>
      <w:r>
        <w:rPr>
          <w:rFonts w:ascii="Calibri" w:cs="Calibri" w:eastAsia="Calibri" w:hAnsi="Calibri"/>
          <w:color w:val="0B2027"/>
          <w:sz w:val="20"/>
          <w:szCs w:val="20"/>
        </w:rPr>
        <w:t xml:space="preserve">Crunchbase News — 6 Charts That Show The Big AI Funding Trends Of 2025. </w:t>
      </w:r>
      <w:hyperlink w:history="1" r:id="rIdg8kbne8elrwjhn4gq3vc2">
        <w:r>
          <w:rPr>
            <w:rFonts w:ascii="Calibri" w:cs="Calibri" w:eastAsia="Calibri" w:hAnsi="Calibri"/>
            <w:color w:val="028090"/>
            <w:sz w:val="20"/>
            <w:szCs w:val="20"/>
            <w:u w:val="single"/>
          </w:rPr>
          <w:t xml:space="preserve">https://news.crunchbase.com/ai/big-funding-trends-charts-eoy-2025/</w:t>
        </w:r>
      </w:hyperlink>
    </w:p>
    <w:p>
      <w:pPr>
        <w:spacing w:after="80"/>
        <w:ind w:left="360" w:hanging="360"/>
      </w:pPr>
      <w:r>
        <w:rPr>
          <w:rFonts w:ascii="Calibri" w:cs="Calibri" w:eastAsia="Calibri" w:hAnsi="Calibri"/>
          <w:b/>
          <w:bCs/>
          <w:color w:val="00A896"/>
          <w:sz w:val="20"/>
          <w:szCs w:val="20"/>
        </w:rPr>
        <w:t xml:space="preserve">[M5] </w:t>
      </w:r>
      <w:r>
        <w:rPr>
          <w:rFonts w:ascii="Calibri" w:cs="Calibri" w:eastAsia="Calibri" w:hAnsi="Calibri"/>
          <w:color w:val="0B2027"/>
          <w:sz w:val="20"/>
          <w:szCs w:val="20"/>
        </w:rPr>
        <w:t xml:space="preserve">Second Talent — Top 100 AI Startup Funding &amp; Investment Statistics (Aug 2026). </w:t>
      </w:r>
      <w:hyperlink w:history="1" r:id="rId0-xc43uilvjpwsa95dx5h">
        <w:r>
          <w:rPr>
            <w:rFonts w:ascii="Calibri" w:cs="Calibri" w:eastAsia="Calibri" w:hAnsi="Calibri"/>
            <w:color w:val="028090"/>
            <w:sz w:val="20"/>
            <w:szCs w:val="20"/>
            <w:u w:val="single"/>
          </w:rPr>
          <w:t xml:space="preserve">https://www.secondtalent.com/resources/ai-startup-funding-investment/</w:t>
        </w:r>
      </w:hyperlink>
    </w:p>
    <w:p>
      <w:pPr>
        <w:spacing w:after="80"/>
        <w:ind w:left="360" w:hanging="360"/>
      </w:pPr>
      <w:r>
        <w:rPr>
          <w:rFonts w:ascii="Calibri" w:cs="Calibri" w:eastAsia="Calibri" w:hAnsi="Calibri"/>
          <w:b/>
          <w:bCs/>
          <w:color w:val="00A896"/>
          <w:sz w:val="20"/>
          <w:szCs w:val="20"/>
        </w:rPr>
        <w:t xml:space="preserve">[M6] </w:t>
      </w:r>
      <w:r>
        <w:rPr>
          <w:rFonts w:ascii="Calibri" w:cs="Calibri" w:eastAsia="Calibri" w:hAnsi="Calibri"/>
          <w:color w:val="0B2027"/>
          <w:sz w:val="20"/>
          <w:szCs w:val="20"/>
        </w:rPr>
        <w:t xml:space="preserve">SEBI (AIF) Regulations 2012 (amended 2024). </w:t>
      </w:r>
      <w:hyperlink w:history="1" r:id="rIdiq8nayxhcnky_w9m2c5pf">
        <w:r>
          <w:rPr>
            <w:rFonts w:ascii="Calibri" w:cs="Calibri" w:eastAsia="Calibri" w:hAnsi="Calibri"/>
            <w:color w:val="028090"/>
            <w:sz w:val="20"/>
            <w:szCs w:val="20"/>
            <w:u w:val="single"/>
          </w:rPr>
          <w:t xml:space="preserve">https://www.sebi.gov.in/</w:t>
        </w:r>
      </w:hyperlink>
    </w:p>
    <w:p>
      <w:pPr>
        <w:spacing w:after="80"/>
        <w:ind w:left="360" w:hanging="360"/>
      </w:pPr>
      <w:r>
        <w:rPr>
          <w:rFonts w:ascii="Calibri" w:cs="Calibri" w:eastAsia="Calibri" w:hAnsi="Calibri"/>
          <w:b/>
          <w:bCs/>
          <w:color w:val="00A896"/>
          <w:sz w:val="20"/>
          <w:szCs w:val="20"/>
        </w:rPr>
        <w:t xml:space="preserve">[M7] </w:t>
      </w:r>
      <w:r>
        <w:rPr>
          <w:rFonts w:ascii="Calibri" w:cs="Calibri" w:eastAsia="Calibri" w:hAnsi="Calibri"/>
          <w:color w:val="0B2027"/>
          <w:sz w:val="20"/>
          <w:szCs w:val="20"/>
        </w:rPr>
        <w:t xml:space="preserve">Digital Personal Data Protection Act, 2023. </w:t>
      </w:r>
      <w:hyperlink w:history="1" r:id="rIdh9jsch7qcxqo1rlypjew8">
        <w:r>
          <w:rPr>
            <w:rFonts w:ascii="Calibri" w:cs="Calibri" w:eastAsia="Calibri" w:hAnsi="Calibri"/>
            <w:color w:val="028090"/>
            <w:sz w:val="20"/>
            <w:szCs w:val="20"/>
            <w:u w:val="single"/>
          </w:rPr>
          <w:t xml:space="preserve">https://www.meity.gov.in/data-protection-framework</w:t>
        </w:r>
      </w:hyperlink>
    </w:p>
    <w:p>
      <w:pPr>
        <w:spacing w:after="200"/>
      </w:pPr>
      <w:r>
        <w:t xml:space="preserve"/>
      </w:r>
    </w:p>
    <w:p>
      <w:pPr>
        <w:pBdr>
          <w:bottom w:val="single" w:color="E3EFEE" w:sz="6" w:space="1"/>
        </w:pBdr>
        <w:spacing w:after="200" w:before="100"/>
      </w:pPr>
      <w:r>
        <w:t xml:space="preserve"/>
      </w:r>
    </w:p>
    <w:p>
      <w:pPr>
        <w:spacing w:after="120"/>
        <w:jc w:val="center"/>
      </w:pPr>
      <w:r>
        <w:rPr>
          <w:rFonts w:ascii="Calibri" w:cs="Calibri" w:eastAsia="Calibri" w:hAnsi="Calibri"/>
          <w:b w:val="false"/>
          <w:bCs w:val="false"/>
          <w:color w:val="5C7A78"/>
          <w:sz w:val="20"/>
          <w:szCs w:val="20"/>
        </w:rPr>
        <w:t xml:space="preserve">End of Document 1 of 3.  Next: Business Architecture (actors, prioritized use cases, value chain, monetization).</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C7A78"/>
        <w:sz w:val="16"/>
        <w:szCs w:val="16"/>
      </w:rPr>
      <w:t xml:space="preserve">Page </w:t>
    </w:r>
    <w:r>
      <w:rPr>
        <w:rFonts w:ascii="Calibri" w:cs="Calibri" w:eastAsia="Calibri" w:hAnsi="Calibri"/>
        <w:color w:val="5C7A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pPr>
    <w:r>
      <w:rPr>
        <w:rFonts w:ascii="Calibri" w:cs="Calibri" w:eastAsia="Calibri" w:hAnsi="Calibri"/>
        <w:b/>
        <w:bCs/>
        <w:color w:val="028090"/>
        <w:spacing w:val="20"/>
        <w:sz w:val="16"/>
        <w:szCs w:val="16"/>
      </w:rPr>
      <w:t xml:space="preserve">STARTUP CONNECT AI</w:t>
    </w:r>
    <w:r>
      <w:rPr>
        <w:rFonts w:ascii="Calibri" w:cs="Calibri" w:eastAsia="Calibri" w:hAnsi="Calibri"/>
        <w:color w:val="5C7A78"/>
        <w:sz w:val="16"/>
        <w:szCs w:val="16"/>
      </w:rPr>
      <w:t xml:space="preserve">    Deep Research Report  •  Document 1 of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20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gvdltjro8u7csbgrmlkx" Type="http://schemas.openxmlformats.org/officeDocument/2006/relationships/hyperlink" Target="https://www.sciencedirect.com/org/science/article/pii/S1546221826004558" TargetMode="External"/><Relationship Id="rIdn2ssrvsbajywevc7xjn9c" Type="http://schemas.openxmlformats.org/officeDocument/2006/relationships/hyperlink" Target="https://ieeexplore.ieee.org/document/11132234" TargetMode="External"/><Relationship Id="rIdl0zglzmgswvxtzaparmtc" Type="http://schemas.openxmlformats.org/officeDocument/2006/relationships/hyperlink" Target="https://arxiv.org/abs/2505.19623" TargetMode="External"/><Relationship Id="rIdpuuktdisfdrhmds2sqsxr" Type="http://schemas.openxmlformats.org/officeDocument/2006/relationships/hyperlink" Target="https://arxiv.org/abs/2111.01911" TargetMode="External"/><Relationship Id="rIdrz2huietydljxarjf6m0_" Type="http://schemas.openxmlformats.org/officeDocument/2006/relationships/hyperlink" Target="https://arxiv.org/abs/1806.03241" TargetMode="External"/><Relationship Id="rIddlu5et1yzx8l45qknoilt" Type="http://schemas.openxmlformats.org/officeDocument/2006/relationships/hyperlink" Target="https://www.researchgate.net/publication/387261418" TargetMode="External"/><Relationship Id="rIdjo3tx8w2kme6bovagxqde" Type="http://schemas.openxmlformats.org/officeDocument/2006/relationships/hyperlink" Target="https://www.sciencedirect.com/science/article/abs/pii/S0020025519310904" TargetMode="External"/><Relationship Id="rIdpfrhgall5xkddta_dqqb6" Type="http://schemas.openxmlformats.org/officeDocument/2006/relationships/hyperlink" Target="https://arxiv.org/abs/1901.03888" TargetMode="External"/><Relationship Id="rIdvatxxcug2-4uvt8m3f0un" Type="http://schemas.openxmlformats.org/officeDocument/2006/relationships/hyperlink" Target="https://www.sciencedirect.com/org/science/article/pii/S1546221826004558" TargetMode="External"/><Relationship Id="rIdqpkps7uckst_veorlowmo" Type="http://schemas.openxmlformats.org/officeDocument/2006/relationships/hyperlink" Target="https://ieeexplore.ieee.org/document/11132234" TargetMode="External"/><Relationship Id="rIdjkk2mlkeqdqgdeq8hz6j8" Type="http://schemas.openxmlformats.org/officeDocument/2006/relationships/hyperlink" Target="https://arxiv.org/abs/2505.19623" TargetMode="External"/><Relationship Id="rId47o28fxpdj37glm2g9kvk" Type="http://schemas.openxmlformats.org/officeDocument/2006/relationships/hyperlink" Target="https://arxiv.org/abs/2111.01911" TargetMode="External"/><Relationship Id="rIdb-kkfr-qed53_oyt0d0lj" Type="http://schemas.openxmlformats.org/officeDocument/2006/relationships/hyperlink" Target="https://arxiv.org/abs/1806.03241" TargetMode="External"/><Relationship Id="rIdmfryjg-o-m7bcsi03robu" Type="http://schemas.openxmlformats.org/officeDocument/2006/relationships/hyperlink" Target="https://www.researchgate.net/publication/387261418" TargetMode="External"/><Relationship Id="rIdoojrnt1rdicbre3oolhtn" Type="http://schemas.openxmlformats.org/officeDocument/2006/relationships/hyperlink" Target="https://www.sciencedirect.com/science/article/abs/pii/S0020025519310904" TargetMode="External"/><Relationship Id="rIda6kxe4oha3udegk6dcxbg" Type="http://schemas.openxmlformats.org/officeDocument/2006/relationships/hyperlink" Target="https://arxiv.org/abs/1901.03888" TargetMode="External"/><Relationship Id="rIdfwzccro0wogohugrjwypf" Type="http://schemas.openxmlformats.org/officeDocument/2006/relationships/hyperlink" Target="https://community.nasscom.in/communities/nasscom-insights/momentum-maturity-indias-tech-startup-ecosystem-strategic-inflection-point-India-tech-startup-report-2025" TargetMode="External"/><Relationship Id="rIdlm9wz0rmn4dpjk-tgvdh2" Type="http://schemas.openxmlformats.org/officeDocument/2006/relationships/hyperlink" Target="https://nasscom.in/knowledge-center/publications/india-generative-ai-startup-landscape-2025-mapping-momentum" TargetMode="External"/><Relationship Id="rIdclixndttzes0etuxx40eu" Type="http://schemas.openxmlformats.org/officeDocument/2006/relationships/hyperlink" Target="https://techcrunch.com/" TargetMode="External"/><Relationship Id="rIdg8kbne8elrwjhn4gq3vc2" Type="http://schemas.openxmlformats.org/officeDocument/2006/relationships/hyperlink" Target="https://news.crunchbase.com/ai/big-funding-trends-charts-eoy-2025/" TargetMode="External"/><Relationship Id="rId0-xc43uilvjpwsa95dx5h" Type="http://schemas.openxmlformats.org/officeDocument/2006/relationships/hyperlink" Target="https://www.secondtalent.com/resources/ai-startup-funding-investment/" TargetMode="External"/><Relationship Id="rIdiq8nayxhcnky_w9m2c5pf" Type="http://schemas.openxmlformats.org/officeDocument/2006/relationships/hyperlink" Target="https://www.sebi.gov.in/" TargetMode="External"/><Relationship Id="rIdh9jsch7qcxqo1rlypjew8" Type="http://schemas.openxmlformats.org/officeDocument/2006/relationships/hyperlink" Target="https://www.meity.gov.in/data-protection-framework"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Startup Connect AI — Deep Research Report</dc:title>
  <dc:creator>Durgesh</dc:creator>
  <dc:description>Deep research report for the Startup Connect AI platform</dc:description>
  <cp:lastModifiedBy>Un-named</cp:lastModifiedBy>
  <cp:revision>1</cp:revision>
  <dcterms:created xsi:type="dcterms:W3CDTF">2026-08-16T18:32:51.611Z</dcterms:created>
  <dcterms:modified xsi:type="dcterms:W3CDTF">2026-08-16T18:32:51.611Z</dcterms:modified>
</cp:coreProperties>
</file>

<file path=docProps/custom.xml><?xml version="1.0" encoding="utf-8"?>
<Properties xmlns="http://schemas.openxmlformats.org/officeDocument/2006/custom-properties" xmlns:vt="http://schemas.openxmlformats.org/officeDocument/2006/docPropsVTypes"/>
</file>