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0F172A"/>
          <w:sz w:val="64"/>
        </w:rPr>
        <w:t>BIOCYPHER 2.0</w:t>
      </w:r>
    </w:p>
    <w:p>
      <w:pPr>
        <w:spacing w:before="0" w:after="280"/>
      </w:pPr>
      <w:r>
        <w:rPr>
          <w:rFonts w:ascii="Calibri" w:hAnsi="Calibri"/>
          <w:color w:val="0284C7"/>
          <w:sz w:val="32"/>
        </w:rPr>
        <w:t>Biometric Cyber Forensics &amp; Photo Privacy Shield</w:t>
      </w:r>
    </w:p>
    <w:p>
      <w:pPr>
        <w:spacing w:after="400"/>
      </w:pPr>
      <w:r>
        <w:rPr>
          <w:rFonts w:ascii="Calibri" w:hAnsi="Calibri"/>
          <w:i/>
          <w:color w:val="64748B"/>
          <w:sz w:val="22"/>
        </w:rPr>
        <w:t>A Comprehensive Technical and Academic Project Report on Remote Fingerprint Extraction, AFIS Minutiae Keypoint Vulnerability, and Active Privacy Sanitization Powered by Computer Vision.</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r>
              <w:rPr>
                <w:b/>
                <w:color w:val="0F172A"/>
                <w:sz w:val="19"/>
              </w:rPr>
              <w:t>Project Classification:</w:t>
            </w:r>
          </w:p>
        </w:tc>
        <w:tc>
          <w:tcPr>
            <w:tcW w:type="dxa" w:w="6192"/>
            <w:shd w:fill="FFFFFF"/>
            <w:tcMar>
              <w:top w:w="60" w:type="dxa"/>
              <w:bottom w:w="60" w:type="dxa"/>
              <w:left w:w="100" w:type="dxa"/>
              <w:right w:w="100" w:type="dxa"/>
            </w:tcMar>
          </w:tcPr>
          <w:p>
            <w:r>
              <w:rPr>
                <w:color w:val="334155"/>
                <w:sz w:val="19"/>
              </w:rPr>
              <w:t>Cybersecurity &amp; Biometric Forensics Defense Engine</w:t>
            </w:r>
          </w:p>
        </w:tc>
      </w:tr>
      <w:tr>
        <w:tc>
          <w:tcPr>
            <w:tcW w:type="dxa" w:w="3168"/>
            <w:shd w:fill="F8FAFC"/>
            <w:tcMar>
              <w:top w:w="60" w:type="dxa"/>
              <w:bottom w:w="60" w:type="dxa"/>
              <w:left w:w="100" w:type="dxa"/>
              <w:right w:w="100" w:type="dxa"/>
            </w:tcMar>
          </w:tcPr>
          <w:p>
            <w:r>
              <w:rPr>
                <w:b/>
                <w:color w:val="0F172A"/>
                <w:sz w:val="19"/>
              </w:rPr>
              <w:t>Academic Institution:</w:t>
            </w:r>
          </w:p>
        </w:tc>
        <w:tc>
          <w:tcPr>
            <w:tcW w:type="dxa" w:w="6192"/>
            <w:shd w:fill="FFFFFF"/>
            <w:tcMar>
              <w:top w:w="60" w:type="dxa"/>
              <w:bottom w:w="60" w:type="dxa"/>
              <w:left w:w="100" w:type="dxa"/>
              <w:right w:w="100" w:type="dxa"/>
            </w:tcMar>
          </w:tcPr>
          <w:p>
            <w:r>
              <w:rPr>
                <w:color w:val="334155"/>
                <w:sz w:val="19"/>
              </w:rPr>
              <w:t>Mehran University of Engineering &amp; Technology, Jamshoro</w:t>
            </w:r>
          </w:p>
        </w:tc>
      </w:tr>
      <w:tr>
        <w:tc>
          <w:tcPr>
            <w:tcW w:type="dxa" w:w="3168"/>
            <w:shd w:fill="F8FAFC"/>
            <w:tcMar>
              <w:top w:w="60" w:type="dxa"/>
              <w:bottom w:w="60" w:type="dxa"/>
              <w:left w:w="100" w:type="dxa"/>
              <w:right w:w="100" w:type="dxa"/>
            </w:tcMar>
          </w:tcPr>
          <w:p>
            <w:r>
              <w:rPr>
                <w:b/>
                <w:color w:val="0F172A"/>
                <w:sz w:val="19"/>
              </w:rPr>
              <w:t>Degree Program:</w:t>
            </w:r>
          </w:p>
        </w:tc>
        <w:tc>
          <w:tcPr>
            <w:tcW w:type="dxa" w:w="6192"/>
            <w:shd w:fill="FFFFFF"/>
            <w:tcMar>
              <w:top w:w="60" w:type="dxa"/>
              <w:bottom w:w="60" w:type="dxa"/>
              <w:left w:w="100" w:type="dxa"/>
              <w:right w:w="100" w:type="dxa"/>
            </w:tcMar>
          </w:tcPr>
          <w:p>
            <w:r>
              <w:rPr>
                <w:color w:val="334155"/>
                <w:sz w:val="19"/>
              </w:rPr>
              <w:t>Bachelor of Science in Cybersecurity (BSc Cybersecurity)</w:t>
            </w:r>
          </w:p>
        </w:tc>
      </w:tr>
      <w:tr>
        <w:tc>
          <w:tcPr>
            <w:tcW w:type="dxa" w:w="3168"/>
            <w:shd w:fill="F8FAFC"/>
            <w:tcMar>
              <w:top w:w="60" w:type="dxa"/>
              <w:bottom w:w="60" w:type="dxa"/>
              <w:left w:w="100" w:type="dxa"/>
              <w:right w:w="100" w:type="dxa"/>
            </w:tcMar>
          </w:tcPr>
          <w:p>
            <w:r>
              <w:rPr>
                <w:b/>
                <w:color w:val="0F172A"/>
                <w:sz w:val="19"/>
              </w:rPr>
              <w:t>Standard Compliance:</w:t>
            </w:r>
          </w:p>
        </w:tc>
        <w:tc>
          <w:tcPr>
            <w:tcW w:type="dxa" w:w="6192"/>
            <w:shd w:fill="FFFFFF"/>
            <w:tcMar>
              <w:top w:w="60" w:type="dxa"/>
              <w:bottom w:w="60" w:type="dxa"/>
              <w:left w:w="100" w:type="dxa"/>
              <w:right w:w="100" w:type="dxa"/>
            </w:tcMar>
          </w:tcPr>
          <w:p>
            <w:r>
              <w:rPr>
                <w:color w:val="334155"/>
                <w:sz w:val="19"/>
              </w:rPr>
              <w:t>NIST SP 800-76-2 (AFIS Criteria) &amp; OWASP Top 10 Hardened</w:t>
            </w:r>
          </w:p>
        </w:tc>
      </w:tr>
      <w:tr>
        <w:tc>
          <w:tcPr>
            <w:tcW w:type="dxa" w:w="3168"/>
            <w:shd w:fill="F8FAFC"/>
            <w:tcMar>
              <w:top w:w="60" w:type="dxa"/>
              <w:bottom w:w="60" w:type="dxa"/>
              <w:left w:w="100" w:type="dxa"/>
              <w:right w:w="100" w:type="dxa"/>
            </w:tcMar>
          </w:tcPr>
          <w:p>
            <w:r>
              <w:rPr>
                <w:b/>
                <w:color w:val="0F172A"/>
                <w:sz w:val="19"/>
              </w:rPr>
              <w:t>Project Release:</w:t>
            </w:r>
          </w:p>
        </w:tc>
        <w:tc>
          <w:tcPr>
            <w:tcW w:type="dxa" w:w="6192"/>
            <w:shd w:fill="FFFFFF"/>
            <w:tcMar>
              <w:top w:w="60" w:type="dxa"/>
              <w:bottom w:w="60" w:type="dxa"/>
              <w:left w:w="100" w:type="dxa"/>
              <w:right w:w="100" w:type="dxa"/>
            </w:tcMar>
          </w:tcPr>
          <w:p>
            <w:r>
              <w:rPr>
                <w:color w:val="334155"/>
                <w:sz w:val="19"/>
              </w:rPr>
              <w:t>BioCypher 2.0 (Forensic Computer Vision &amp; Dual-Mode UI Engine)</w:t>
            </w:r>
          </w:p>
        </w:tc>
      </w:tr>
    </w:tbl>
    <w:p>
      <w:r>
        <w:br w:type="page"/>
      </w:r>
    </w:p>
    <w:p>
      <w:pPr>
        <w:keepNext/>
        <w:spacing w:before="360" w:after="120"/>
      </w:pPr>
      <w:r>
        <w:rPr>
          <w:rFonts w:ascii="Calibri" w:hAnsi="Calibri"/>
          <w:b/>
          <w:color w:val="0F172A"/>
          <w:sz w:val="36"/>
        </w:rPr>
        <w:t>Executive Summary</w:t>
      </w:r>
    </w:p>
    <w:p>
      <w:pPr>
        <w:spacing w:before="0" w:after="120" w:line="276" w:lineRule="auto"/>
      </w:pPr>
      <w:r>
        <w:rPr>
          <w:rFonts w:ascii="Calibri" w:hAnsi="Calibri"/>
          <w:i w:val="0"/>
          <w:color w:val="334155"/>
          <w:sz w:val="21"/>
        </w:rPr>
        <w:t>Modern consumer smartphones boast digital camera sensors with resolutions surpassing 48 to 108 megapixels, paired with telephoto lenses capable of capturing sub-millimeter biometric textures from several meters away. Simultaneously, ubiquitous social media usage encourages billions of users to routinely share candid photographs featuring explicit hand gestures—most notably the 'peace sign' (V-sign), 'thumbs up', and open-palm waves. While perceived as innocuous social interactions, these photographs inadvertently broadcast high-contrast epidermal friction ridges onto the public internet.</w:t>
      </w:r>
    </w:p>
    <w:p>
      <w:pPr>
        <w:spacing w:before="0" w:after="120" w:line="276" w:lineRule="auto"/>
      </w:pPr>
      <w:r>
        <w:rPr>
          <w:rFonts w:ascii="Calibri" w:hAnsi="Calibri"/>
          <w:i w:val="0"/>
          <w:color w:val="334155"/>
          <w:sz w:val="21"/>
        </w:rPr>
        <w:t>Unlike alpha-numeric passwords or cryptographic session tokens, human biometrics are permanently bound to the individual. Once a fingerprint is compromised through a harvested social media photo, the victim cannot reset or rotate their biometric credentials. Adversaries equipped with computer vision pipelines can isolate these friction ridges, extract forensic minutiae keypoints, and construct conductive physical clone molds (using conductive ink, gelatin, silicone, or printed PCBs) capable of reliably bypassing capacitive and optical biometric authentication mechanisms—such as Apple TouchID and Android fingerprint sensors.</w:t>
      </w:r>
    </w:p>
    <w:p>
      <w:pPr>
        <w:spacing w:before="0" w:after="120" w:line="276" w:lineRule="auto"/>
      </w:pPr>
      <w:r>
        <w:rPr>
          <w:rFonts w:ascii="Calibri" w:hAnsi="Calibri"/>
          <w:i w:val="0"/>
          <w:color w:val="334155"/>
          <w:sz w:val="21"/>
        </w:rPr>
        <w:t>BioCypher 2.0 was developed as an end-to-end cybersecurity awareness and defensive platform. The system operates on two critical axes: (1) Threat Assessment: applying rigorous computer vision algorithms (Zero-DC multi-orientation Gabor filter banks and AFIS Crossing Number skeletonization) to quantify fingerprint cloning feasibility against the legal 12-point NIST SP 800-76-2 threshold; and (2) Active Defense: empowering users with a 1-Click Privacy Sanitizer that blurs biometric friction ridges while maintaining the natural visual aesthetic of the photograph for safe public sharing.</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80"/>
            </w:pPr>
            <w:r>
              <w:rPr>
                <w:rFonts w:ascii="Calibri" w:hAnsi="Calibri"/>
                <w:b/>
                <w:color w:val="0284C7"/>
                <w:sz w:val="22"/>
              </w:rPr>
              <w:t>📌 Core Value Proposition</w:t>
              <w:br/>
            </w:r>
            <w:r>
              <w:rPr>
                <w:rFonts w:ascii="Calibri" w:hAnsi="Calibri"/>
                <w:color w:val="334155"/>
                <w:sz w:val="20"/>
              </w:rPr>
              <w:t>BioCypher 2.0 bridges the gap between complex biometric forensic research and everyday consumer privacy. It provides immediate mathematical vulnerability feedback without requiring specialized forensic equipment, accompanied by active defense tools to neutralize the attack vector before social media upload.</w:t>
            </w:r>
          </w:p>
        </w:tc>
      </w:tr>
    </w:tbl>
    <w:p>
      <w:pPr>
        <w:spacing w:after="80"/>
      </w:pPr>
    </w:p>
    <w:p>
      <w:pPr>
        <w:keepNext/>
        <w:spacing w:before="360" w:after="120"/>
      </w:pPr>
      <w:r>
        <w:rPr>
          <w:rFonts w:ascii="Calibri" w:hAnsi="Calibri"/>
          <w:b/>
          <w:color w:val="0F172A"/>
          <w:sz w:val="36"/>
        </w:rPr>
        <w:t>1. Project Goals, Aims &amp; Problem Statement</w:t>
      </w:r>
    </w:p>
    <w:p>
      <w:pPr>
        <w:keepNext/>
        <w:spacing w:before="240" w:after="80"/>
      </w:pPr>
      <w:r>
        <w:rPr>
          <w:rFonts w:ascii="Calibri" w:hAnsi="Calibri"/>
          <w:b/>
          <w:color w:val="0284C7"/>
          <w:sz w:val="28"/>
        </w:rPr>
        <w:t>1.1 Problem Statement</w:t>
      </w:r>
    </w:p>
    <w:p>
      <w:pPr>
        <w:spacing w:before="0" w:after="120" w:line="276" w:lineRule="auto"/>
      </w:pPr>
      <w:r>
        <w:rPr>
          <w:rFonts w:ascii="Calibri" w:hAnsi="Calibri"/>
          <w:i w:val="0"/>
          <w:color w:val="334155"/>
          <w:sz w:val="21"/>
        </w:rPr>
        <w:t>Social media platforms strip personal EXIF metadata (GPS coordinates, camera serial numbers) from uploaded images, giving users a false sense of comprehensive privacy. However, platforms do not alter the high-frequency pixel structures representing biological identities. As a consequence, high-resolution photographs exposing finger pads remain a goldmine for automated biometric harvesting.</w:t>
      </w:r>
    </w:p>
    <w:p>
      <w:pPr>
        <w:spacing w:before="0" w:after="120" w:line="276" w:lineRule="auto"/>
      </w:pPr>
      <w:r>
        <w:rPr>
          <w:rFonts w:ascii="Calibri" w:hAnsi="Calibri"/>
          <w:i w:val="0"/>
          <w:color w:val="334155"/>
          <w:sz w:val="21"/>
        </w:rPr>
        <w:t>Research in cyber forensics has proven that adversaries can execute passive open-source intelligence (OSINT) gathering across public Instagram, LinkedIn, or TikTok feeds. Photographs taken under direct sunlight or flash illumination offer exceptional ridge-to-valley contrast, allowing automated scripts to crop fingertips, perform ridge enhancement, and output vector minutiae templates formatted for Automated Fingerprint Identification Systems (AFIS).</w:t>
      </w:r>
    </w:p>
    <w:p>
      <w:pPr>
        <w:keepNext/>
        <w:spacing w:before="240" w:after="80"/>
      </w:pPr>
      <w:r>
        <w:rPr>
          <w:rFonts w:ascii="Calibri" w:hAnsi="Calibri"/>
          <w:b/>
          <w:color w:val="0284C7"/>
          <w:sz w:val="28"/>
        </w:rPr>
        <w:t>1.2 Primary Project Aims</w:t>
      </w:r>
    </w:p>
    <w:p>
      <w:pPr>
        <w:spacing w:before="0" w:after="120" w:line="276" w:lineRule="auto"/>
      </w:pPr>
      <w:r>
        <w:rPr>
          <w:rFonts w:ascii="Calibri" w:hAnsi="Calibri"/>
          <w:i w:val="0"/>
          <w:color w:val="334155"/>
          <w:sz w:val="21"/>
        </w:rPr>
        <w:t>The BioCypher 2.0 research and development initiative was governed by four overarching aims:</w:t>
      </w:r>
    </w:p>
    <w:p>
      <w:pPr>
        <w:spacing w:before="0" w:after="120" w:line="276" w:lineRule="auto"/>
      </w:pPr>
      <w:r>
        <w:rPr>
          <w:rFonts w:ascii="Calibri" w:hAnsi="Calibri"/>
          <w:b/>
          <w:color w:val="0F172A"/>
          <w:sz w:val="21"/>
        </w:rPr>
        <w:t xml:space="preserve">1. Objective Quantification of Biometric Risk: </w:t>
      </w:r>
      <w:r>
        <w:rPr>
          <w:rFonts w:ascii="Calibri" w:hAnsi="Calibri"/>
          <w:i w:val="0"/>
          <w:color w:val="334155"/>
          <w:sz w:val="21"/>
        </w:rPr>
        <w:t>Develop an automated forensic inspection pipeline that accepts standard consumer image formats (JPEG, PNG, WebP) and analyzes the visibility, sharpness, and continuity of epidermal friction ridges without requiring specialized lab hardware.</w:t>
      </w:r>
    </w:p>
    <w:p>
      <w:pPr>
        <w:spacing w:before="0" w:after="120" w:line="276" w:lineRule="auto"/>
      </w:pPr>
      <w:r>
        <w:rPr>
          <w:rFonts w:ascii="Calibri" w:hAnsi="Calibri"/>
          <w:b/>
          <w:color w:val="0F172A"/>
          <w:sz w:val="21"/>
        </w:rPr>
        <w:t xml:space="preserve">2. NIST SP 800-76-2 Forensic Standard Adherence: </w:t>
      </w:r>
      <w:r>
        <w:rPr>
          <w:rFonts w:ascii="Calibri" w:hAnsi="Calibri"/>
          <w:i w:val="0"/>
          <w:color w:val="334155"/>
          <w:sz w:val="21"/>
        </w:rPr>
        <w:t>Align biometric risk metrics with established law-enforcement and federal standards—specifically the FBI / NIST SP 800-76-2 standard requiring 12 or more verifiable minutiae keypoints (ridge endings and bifurcations) for positive forensic matching.</w:t>
      </w:r>
    </w:p>
    <w:p>
      <w:pPr>
        <w:spacing w:before="0" w:after="120" w:line="276" w:lineRule="auto"/>
      </w:pPr>
      <w:r>
        <w:rPr>
          <w:rFonts w:ascii="Calibri" w:hAnsi="Calibri"/>
          <w:b/>
          <w:color w:val="0F172A"/>
          <w:sz w:val="21"/>
        </w:rPr>
        <w:t xml:space="preserve">3. Proactive 1-Click Privacy Sanitization: </w:t>
      </w:r>
      <w:r>
        <w:rPr>
          <w:rFonts w:ascii="Calibri" w:hAnsi="Calibri"/>
          <w:i w:val="0"/>
          <w:color w:val="334155"/>
          <w:sz w:val="21"/>
        </w:rPr>
        <w:t>Implement a selective, non-destructive blurring engine that detects and attenuates high-frequency epidermal ridge patterns while leaving skin tones, lighting, and overall image context intact for seamless social media posting.</w:t>
      </w:r>
    </w:p>
    <w:p>
      <w:pPr>
        <w:spacing w:before="0" w:after="120" w:line="276" w:lineRule="auto"/>
      </w:pPr>
      <w:r>
        <w:rPr>
          <w:rFonts w:ascii="Calibri" w:hAnsi="Calibri"/>
          <w:b/>
          <w:color w:val="0F172A"/>
          <w:sz w:val="21"/>
        </w:rPr>
        <w:t xml:space="preserve">4. Accessible Cybersecurity Awareness: </w:t>
      </w:r>
      <w:r>
        <w:rPr>
          <w:rFonts w:ascii="Calibri" w:hAnsi="Calibri"/>
          <w:i w:val="0"/>
          <w:color w:val="334155"/>
          <w:sz w:val="21"/>
        </w:rPr>
        <w:t>Deliver a modern, intuitive, and reassuring user interface ('Cool Slate &amp; Sky Blue') that demystifies biometric threats for non-technical users through plain-English risk ratings, visual comparison inspectors, and educational threat guidance.</w:t>
      </w:r>
    </w:p>
    <w:p>
      <w:pPr>
        <w:keepNext/>
        <w:spacing w:before="360" w:after="120"/>
      </w:pPr>
      <w:r>
        <w:rPr>
          <w:rFonts w:ascii="Calibri" w:hAnsi="Calibri"/>
          <w:b/>
          <w:color w:val="0F172A"/>
          <w:sz w:val="36"/>
        </w:rPr>
        <w:t>2. Technology Stack &amp; Comprehensive Libraries Breakdown</w:t>
      </w:r>
    </w:p>
    <w:p>
      <w:pPr>
        <w:spacing w:before="0" w:after="120" w:line="276" w:lineRule="auto"/>
      </w:pPr>
      <w:r>
        <w:rPr>
          <w:rFonts w:ascii="Calibri" w:hAnsi="Calibri"/>
          <w:i w:val="0"/>
          <w:color w:val="334155"/>
          <w:sz w:val="21"/>
        </w:rPr>
        <w:t>BioCypher 2.0 is built on a high-performance, modular Python backend coupled with an ultra-responsive, vanilla web frontend. Below is an exhaustive breakdown of every core library, framework, and tool utilized in the project:</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00" w:type="dxa"/>
              <w:right w:w="100" w:type="dxa"/>
            </w:tcMar>
          </w:tcPr>
          <w:p>
            <w:r>
              <w:rPr>
                <w:b/>
                <w:color w:val="FFFFFF"/>
                <w:sz w:val="19"/>
              </w:rPr>
              <w:t>Library / Framework</w:t>
            </w:r>
          </w:p>
        </w:tc>
        <w:tc>
          <w:tcPr>
            <w:tcW w:type="dxa" w:w="2340"/>
            <w:shd w:fill="0F172A"/>
            <w:tcMar>
              <w:top w:w="100" w:type="dxa"/>
              <w:bottom w:w="100" w:type="dxa"/>
              <w:left w:w="100" w:type="dxa"/>
              <w:right w:w="100" w:type="dxa"/>
            </w:tcMar>
          </w:tcPr>
          <w:p>
            <w:r>
              <w:rPr>
                <w:b/>
                <w:color w:val="FFFFFF"/>
                <w:sz w:val="19"/>
              </w:rPr>
              <w:t>Version</w:t>
            </w:r>
          </w:p>
        </w:tc>
        <w:tc>
          <w:tcPr>
            <w:tcW w:type="dxa" w:w="2340"/>
            <w:shd w:fill="0F172A"/>
            <w:tcMar>
              <w:top w:w="100" w:type="dxa"/>
              <w:bottom w:w="100" w:type="dxa"/>
              <w:left w:w="100" w:type="dxa"/>
              <w:right w:w="100" w:type="dxa"/>
            </w:tcMar>
          </w:tcPr>
          <w:p>
            <w:r>
              <w:rPr>
                <w:b/>
                <w:color w:val="FFFFFF"/>
                <w:sz w:val="19"/>
              </w:rPr>
              <w:t>Architectural Role</w:t>
            </w:r>
          </w:p>
        </w:tc>
        <w:tc>
          <w:tcPr>
            <w:tcW w:type="dxa" w:w="2340"/>
            <w:shd w:fill="0F172A"/>
            <w:tcMar>
              <w:top w:w="100" w:type="dxa"/>
              <w:bottom w:w="100" w:type="dxa"/>
              <w:left w:w="100" w:type="dxa"/>
              <w:right w:w="100" w:type="dxa"/>
            </w:tcMar>
          </w:tcPr>
          <w:p>
            <w:r>
              <w:rPr>
                <w:b/>
                <w:color w:val="FFFFFF"/>
                <w:sz w:val="19"/>
              </w:rPr>
              <w:t>Key Contribution in BioCypher</w:t>
            </w:r>
          </w:p>
        </w:tc>
      </w:tr>
      <w:tr>
        <w:tc>
          <w:tcPr>
            <w:tcW w:type="dxa" w:w="2340"/>
            <w:shd w:fill="F8FAFC"/>
            <w:tcMar>
              <w:top w:w="80" w:type="dxa"/>
              <w:bottom w:w="80" w:type="dxa"/>
              <w:left w:w="90" w:type="dxa"/>
              <w:right w:w="90" w:type="dxa"/>
            </w:tcMar>
          </w:tcPr>
          <w:p>
            <w:r>
              <w:rPr>
                <w:b/>
                <w:color w:val="0F172A"/>
                <w:sz w:val="18"/>
              </w:rPr>
              <w:t>Python</w:t>
            </w:r>
          </w:p>
        </w:tc>
        <w:tc>
          <w:tcPr>
            <w:tcW w:type="dxa" w:w="2340"/>
            <w:shd w:fill="F8FAFC"/>
            <w:tcMar>
              <w:top w:w="80" w:type="dxa"/>
              <w:bottom w:w="80" w:type="dxa"/>
              <w:left w:w="90" w:type="dxa"/>
              <w:right w:w="90" w:type="dxa"/>
            </w:tcMar>
          </w:tcPr>
          <w:p>
            <w:r>
              <w:rPr>
                <w:color w:val="334155"/>
                <w:sz w:val="18"/>
              </w:rPr>
              <w:t>3.10+</w:t>
            </w:r>
          </w:p>
        </w:tc>
        <w:tc>
          <w:tcPr>
            <w:tcW w:type="dxa" w:w="2340"/>
            <w:shd w:fill="F8FAFC"/>
            <w:tcMar>
              <w:top w:w="80" w:type="dxa"/>
              <w:bottom w:w="80" w:type="dxa"/>
              <w:left w:w="90" w:type="dxa"/>
              <w:right w:w="90" w:type="dxa"/>
            </w:tcMar>
          </w:tcPr>
          <w:p>
            <w:r>
              <w:rPr>
                <w:color w:val="334155"/>
                <w:sz w:val="18"/>
              </w:rPr>
              <w:t>Core Language</w:t>
            </w:r>
          </w:p>
        </w:tc>
        <w:tc>
          <w:tcPr>
            <w:tcW w:type="dxa" w:w="2340"/>
            <w:shd w:fill="F8FAFC"/>
            <w:tcMar>
              <w:top w:w="80" w:type="dxa"/>
              <w:bottom w:w="80" w:type="dxa"/>
              <w:left w:w="90" w:type="dxa"/>
              <w:right w:w="90" w:type="dxa"/>
            </w:tcMar>
          </w:tcPr>
          <w:p>
            <w:r>
              <w:rPr>
                <w:color w:val="334155"/>
                <w:sz w:val="18"/>
              </w:rPr>
              <w:t>Provides runtime environment, high-precision floating point math, and native OS interop.</w:t>
            </w:r>
          </w:p>
        </w:tc>
      </w:tr>
      <w:tr>
        <w:tc>
          <w:tcPr>
            <w:tcW w:type="dxa" w:w="2340"/>
            <w:shd w:fill="FFFFFF"/>
            <w:tcMar>
              <w:top w:w="80" w:type="dxa"/>
              <w:bottom w:w="80" w:type="dxa"/>
              <w:left w:w="90" w:type="dxa"/>
              <w:right w:w="90" w:type="dxa"/>
            </w:tcMar>
          </w:tcPr>
          <w:p>
            <w:r>
              <w:rPr>
                <w:b/>
                <w:color w:val="0F172A"/>
                <w:sz w:val="18"/>
              </w:rPr>
              <w:t>OpenCV (Headless)</w:t>
            </w:r>
          </w:p>
        </w:tc>
        <w:tc>
          <w:tcPr>
            <w:tcW w:type="dxa" w:w="2340"/>
            <w:shd w:fill="FFFFFF"/>
            <w:tcMar>
              <w:top w:w="80" w:type="dxa"/>
              <w:bottom w:w="80" w:type="dxa"/>
              <w:left w:w="90" w:type="dxa"/>
              <w:right w:w="90" w:type="dxa"/>
            </w:tcMar>
          </w:tcPr>
          <w:p>
            <w:r>
              <w:rPr>
                <w:color w:val="334155"/>
                <w:sz w:val="18"/>
              </w:rPr>
              <w:t>4.10+</w:t>
            </w:r>
          </w:p>
        </w:tc>
        <w:tc>
          <w:tcPr>
            <w:tcW w:type="dxa" w:w="2340"/>
            <w:shd w:fill="FFFFFF"/>
            <w:tcMar>
              <w:top w:w="80" w:type="dxa"/>
              <w:bottom w:w="80" w:type="dxa"/>
              <w:left w:w="90" w:type="dxa"/>
              <w:right w:w="90" w:type="dxa"/>
            </w:tcMar>
          </w:tcPr>
          <w:p>
            <w:r>
              <w:rPr>
                <w:color w:val="334155"/>
                <w:sz w:val="18"/>
              </w:rPr>
              <w:t>Computer Vision Engine</w:t>
            </w:r>
          </w:p>
        </w:tc>
        <w:tc>
          <w:tcPr>
            <w:tcW w:type="dxa" w:w="2340"/>
            <w:shd w:fill="FFFFFF"/>
            <w:tcMar>
              <w:top w:w="80" w:type="dxa"/>
              <w:bottom w:w="80" w:type="dxa"/>
              <w:left w:w="90" w:type="dxa"/>
              <w:right w:w="90" w:type="dxa"/>
            </w:tcMar>
          </w:tcPr>
          <w:p>
            <w:r>
              <w:rPr>
                <w:color w:val="334155"/>
                <w:sz w:val="18"/>
              </w:rPr>
              <w:t>Executes CLAHE contrast enhancement, Gabor 2D filter convolutions, morphology, and bilateral smoothing.</w:t>
            </w:r>
          </w:p>
        </w:tc>
      </w:tr>
      <w:tr>
        <w:tc>
          <w:tcPr>
            <w:tcW w:type="dxa" w:w="2340"/>
            <w:shd w:fill="F8FAFC"/>
            <w:tcMar>
              <w:top w:w="80" w:type="dxa"/>
              <w:bottom w:w="80" w:type="dxa"/>
              <w:left w:w="90" w:type="dxa"/>
              <w:right w:w="90" w:type="dxa"/>
            </w:tcMar>
          </w:tcPr>
          <w:p>
            <w:r>
              <w:rPr>
                <w:b/>
                <w:color w:val="0F172A"/>
                <w:sz w:val="18"/>
              </w:rPr>
              <w:t>NumPy</w:t>
            </w:r>
          </w:p>
        </w:tc>
        <w:tc>
          <w:tcPr>
            <w:tcW w:type="dxa" w:w="2340"/>
            <w:shd w:fill="F8FAFC"/>
            <w:tcMar>
              <w:top w:w="80" w:type="dxa"/>
              <w:bottom w:w="80" w:type="dxa"/>
              <w:left w:w="90" w:type="dxa"/>
              <w:right w:w="90" w:type="dxa"/>
            </w:tcMar>
          </w:tcPr>
          <w:p>
            <w:r>
              <w:rPr>
                <w:color w:val="334155"/>
                <w:sz w:val="18"/>
              </w:rPr>
              <w:t>1.26+</w:t>
            </w:r>
          </w:p>
        </w:tc>
        <w:tc>
          <w:tcPr>
            <w:tcW w:type="dxa" w:w="2340"/>
            <w:shd w:fill="F8FAFC"/>
            <w:tcMar>
              <w:top w:w="80" w:type="dxa"/>
              <w:bottom w:w="80" w:type="dxa"/>
              <w:left w:w="90" w:type="dxa"/>
              <w:right w:w="90" w:type="dxa"/>
            </w:tcMar>
          </w:tcPr>
          <w:p>
            <w:r>
              <w:rPr>
                <w:color w:val="334155"/>
                <w:sz w:val="18"/>
              </w:rPr>
              <w:t>Numerical Computing</w:t>
            </w:r>
          </w:p>
        </w:tc>
        <w:tc>
          <w:tcPr>
            <w:tcW w:type="dxa" w:w="2340"/>
            <w:shd w:fill="F8FAFC"/>
            <w:tcMar>
              <w:top w:w="80" w:type="dxa"/>
              <w:bottom w:w="80" w:type="dxa"/>
              <w:left w:w="90" w:type="dxa"/>
              <w:right w:w="90" w:type="dxa"/>
            </w:tcMar>
          </w:tcPr>
          <w:p>
            <w:r>
              <w:rPr>
                <w:color w:val="334155"/>
                <w:sz w:val="18"/>
              </w:rPr>
              <w:t>High-speed matrix transformations, 8-neighbor convolution kernels, eigenvalue math, and threshold masking.</w:t>
            </w:r>
          </w:p>
        </w:tc>
      </w:tr>
      <w:tr>
        <w:tc>
          <w:tcPr>
            <w:tcW w:type="dxa" w:w="2340"/>
            <w:shd w:fill="FFFFFF"/>
            <w:tcMar>
              <w:top w:w="80" w:type="dxa"/>
              <w:bottom w:w="80" w:type="dxa"/>
              <w:left w:w="90" w:type="dxa"/>
              <w:right w:w="90" w:type="dxa"/>
            </w:tcMar>
          </w:tcPr>
          <w:p>
            <w:r>
              <w:rPr>
                <w:b/>
                <w:color w:val="0F172A"/>
                <w:sz w:val="18"/>
              </w:rPr>
              <w:t>Flask</w:t>
            </w:r>
          </w:p>
        </w:tc>
        <w:tc>
          <w:tcPr>
            <w:tcW w:type="dxa" w:w="2340"/>
            <w:shd w:fill="FFFFFF"/>
            <w:tcMar>
              <w:top w:w="80" w:type="dxa"/>
              <w:bottom w:w="80" w:type="dxa"/>
              <w:left w:w="90" w:type="dxa"/>
              <w:right w:w="90" w:type="dxa"/>
            </w:tcMar>
          </w:tcPr>
          <w:p>
            <w:r>
              <w:rPr>
                <w:color w:val="334155"/>
                <w:sz w:val="18"/>
              </w:rPr>
              <w:t>3.0+</w:t>
            </w:r>
          </w:p>
        </w:tc>
        <w:tc>
          <w:tcPr>
            <w:tcW w:type="dxa" w:w="2340"/>
            <w:shd w:fill="FFFFFF"/>
            <w:tcMar>
              <w:top w:w="80" w:type="dxa"/>
              <w:bottom w:w="80" w:type="dxa"/>
              <w:left w:w="90" w:type="dxa"/>
              <w:right w:w="90" w:type="dxa"/>
            </w:tcMar>
          </w:tcPr>
          <w:p>
            <w:r>
              <w:rPr>
                <w:color w:val="334155"/>
                <w:sz w:val="18"/>
              </w:rPr>
              <w:t>Web Framework &amp; WSGI</w:t>
            </w:r>
          </w:p>
        </w:tc>
        <w:tc>
          <w:tcPr>
            <w:tcW w:type="dxa" w:w="2340"/>
            <w:shd w:fill="FFFFFF"/>
            <w:tcMar>
              <w:top w:w="80" w:type="dxa"/>
              <w:bottom w:w="80" w:type="dxa"/>
              <w:left w:w="90" w:type="dxa"/>
              <w:right w:w="90" w:type="dxa"/>
            </w:tcMar>
          </w:tcPr>
          <w:p>
            <w:r>
              <w:rPr>
                <w:color w:val="334155"/>
                <w:sz w:val="18"/>
              </w:rPr>
              <w:t>Lightweight REST API routing, streaming multipart uploads, sliding-window rate limiting, and HTTP response handling.</w:t>
            </w:r>
          </w:p>
        </w:tc>
      </w:tr>
      <w:tr>
        <w:tc>
          <w:tcPr>
            <w:tcW w:type="dxa" w:w="2340"/>
            <w:shd w:fill="F8FAFC"/>
            <w:tcMar>
              <w:top w:w="80" w:type="dxa"/>
              <w:bottom w:w="80" w:type="dxa"/>
              <w:left w:w="90" w:type="dxa"/>
              <w:right w:w="90" w:type="dxa"/>
            </w:tcMar>
          </w:tcPr>
          <w:p>
            <w:r>
              <w:rPr>
                <w:b/>
                <w:color w:val="0F172A"/>
                <w:sz w:val="18"/>
              </w:rPr>
              <w:t>Werkzeug</w:t>
            </w:r>
          </w:p>
        </w:tc>
        <w:tc>
          <w:tcPr>
            <w:tcW w:type="dxa" w:w="2340"/>
            <w:shd w:fill="F8FAFC"/>
            <w:tcMar>
              <w:top w:w="80" w:type="dxa"/>
              <w:bottom w:w="80" w:type="dxa"/>
              <w:left w:w="90" w:type="dxa"/>
              <w:right w:w="90" w:type="dxa"/>
            </w:tcMar>
          </w:tcPr>
          <w:p>
            <w:r>
              <w:rPr>
                <w:color w:val="334155"/>
                <w:sz w:val="18"/>
              </w:rPr>
              <w:t>3.0+</w:t>
            </w:r>
          </w:p>
        </w:tc>
        <w:tc>
          <w:tcPr>
            <w:tcW w:type="dxa" w:w="2340"/>
            <w:shd w:fill="F8FAFC"/>
            <w:tcMar>
              <w:top w:w="80" w:type="dxa"/>
              <w:bottom w:w="80" w:type="dxa"/>
              <w:left w:w="90" w:type="dxa"/>
              <w:right w:w="90" w:type="dxa"/>
            </w:tcMar>
          </w:tcPr>
          <w:p>
            <w:r>
              <w:rPr>
                <w:color w:val="334155"/>
                <w:sz w:val="18"/>
              </w:rPr>
              <w:t>Security &amp; Utilities</w:t>
            </w:r>
          </w:p>
        </w:tc>
        <w:tc>
          <w:tcPr>
            <w:tcW w:type="dxa" w:w="2340"/>
            <w:shd w:fill="F8FAFC"/>
            <w:tcMar>
              <w:top w:w="80" w:type="dxa"/>
              <w:bottom w:w="80" w:type="dxa"/>
              <w:left w:w="90" w:type="dxa"/>
              <w:right w:w="90" w:type="dxa"/>
            </w:tcMar>
          </w:tcPr>
          <w:p>
            <w:r>
              <w:rPr>
                <w:color w:val="334155"/>
                <w:sz w:val="18"/>
              </w:rPr>
              <w:t>Secure file name hashing, MIME verification, path traversal prevention, and WSGI middleware wrapper.</w:t>
            </w:r>
          </w:p>
        </w:tc>
      </w:tr>
      <w:tr>
        <w:tc>
          <w:tcPr>
            <w:tcW w:type="dxa" w:w="2340"/>
            <w:shd w:fill="FFFFFF"/>
            <w:tcMar>
              <w:top w:w="80" w:type="dxa"/>
              <w:bottom w:w="80" w:type="dxa"/>
              <w:left w:w="90" w:type="dxa"/>
              <w:right w:w="90" w:type="dxa"/>
            </w:tcMar>
          </w:tcPr>
          <w:p>
            <w:r>
              <w:rPr>
                <w:b/>
                <w:color w:val="0F172A"/>
                <w:sz w:val="18"/>
              </w:rPr>
              <w:t>Pillow (PIL)</w:t>
            </w:r>
          </w:p>
        </w:tc>
        <w:tc>
          <w:tcPr>
            <w:tcW w:type="dxa" w:w="2340"/>
            <w:shd w:fill="FFFFFF"/>
            <w:tcMar>
              <w:top w:w="80" w:type="dxa"/>
              <w:bottom w:w="80" w:type="dxa"/>
              <w:left w:w="90" w:type="dxa"/>
              <w:right w:w="90" w:type="dxa"/>
            </w:tcMar>
          </w:tcPr>
          <w:p>
            <w:r>
              <w:rPr>
                <w:color w:val="334155"/>
                <w:sz w:val="18"/>
              </w:rPr>
              <w:t>10.4+</w:t>
            </w:r>
          </w:p>
        </w:tc>
        <w:tc>
          <w:tcPr>
            <w:tcW w:type="dxa" w:w="2340"/>
            <w:shd w:fill="FFFFFF"/>
            <w:tcMar>
              <w:top w:w="80" w:type="dxa"/>
              <w:bottom w:w="80" w:type="dxa"/>
              <w:left w:w="90" w:type="dxa"/>
              <w:right w:w="90" w:type="dxa"/>
            </w:tcMar>
          </w:tcPr>
          <w:p>
            <w:r>
              <w:rPr>
                <w:color w:val="334155"/>
                <w:sz w:val="18"/>
              </w:rPr>
              <w:t>Image Preprocessing</w:t>
            </w:r>
          </w:p>
        </w:tc>
        <w:tc>
          <w:tcPr>
            <w:tcW w:type="dxa" w:w="2340"/>
            <w:shd w:fill="FFFFFF"/>
            <w:tcMar>
              <w:top w:w="80" w:type="dxa"/>
              <w:bottom w:w="80" w:type="dxa"/>
              <w:left w:w="90" w:type="dxa"/>
              <w:right w:w="90" w:type="dxa"/>
            </w:tcMar>
          </w:tcPr>
          <w:p>
            <w:r>
              <w:rPr>
                <w:color w:val="334155"/>
                <w:sz w:val="18"/>
              </w:rPr>
              <w:t>Decompression bomb mitigation (MAX_IMAGE_PIXELS), dynamic dimension downscaling to 1920px, and EXIF sanitization.</w:t>
            </w:r>
          </w:p>
        </w:tc>
      </w:tr>
      <w:tr>
        <w:tc>
          <w:tcPr>
            <w:tcW w:type="dxa" w:w="2340"/>
            <w:shd w:fill="F8FAFC"/>
            <w:tcMar>
              <w:top w:w="80" w:type="dxa"/>
              <w:bottom w:w="80" w:type="dxa"/>
              <w:left w:w="90" w:type="dxa"/>
              <w:right w:w="90" w:type="dxa"/>
            </w:tcMar>
          </w:tcPr>
          <w:p>
            <w:r>
              <w:rPr>
                <w:b/>
                <w:color w:val="0F172A"/>
                <w:sz w:val="18"/>
              </w:rPr>
              <w:t>Vanilla CSS3 &amp; JS</w:t>
            </w:r>
          </w:p>
        </w:tc>
        <w:tc>
          <w:tcPr>
            <w:tcW w:type="dxa" w:w="2340"/>
            <w:shd w:fill="F8FAFC"/>
            <w:tcMar>
              <w:top w:w="80" w:type="dxa"/>
              <w:bottom w:w="80" w:type="dxa"/>
              <w:left w:w="90" w:type="dxa"/>
              <w:right w:w="90" w:type="dxa"/>
            </w:tcMar>
          </w:tcPr>
          <w:p>
            <w:r>
              <w:rPr>
                <w:color w:val="334155"/>
                <w:sz w:val="18"/>
              </w:rPr>
              <w:t>ES6+</w:t>
            </w:r>
          </w:p>
        </w:tc>
        <w:tc>
          <w:tcPr>
            <w:tcW w:type="dxa" w:w="2340"/>
            <w:shd w:fill="F8FAFC"/>
            <w:tcMar>
              <w:top w:w="80" w:type="dxa"/>
              <w:bottom w:w="80" w:type="dxa"/>
              <w:left w:w="90" w:type="dxa"/>
              <w:right w:w="90" w:type="dxa"/>
            </w:tcMar>
          </w:tcPr>
          <w:p>
            <w:r>
              <w:rPr>
                <w:color w:val="334155"/>
                <w:sz w:val="18"/>
              </w:rPr>
              <w:t>Client-Side Frontend</w:t>
            </w:r>
          </w:p>
        </w:tc>
        <w:tc>
          <w:tcPr>
            <w:tcW w:type="dxa" w:w="2340"/>
            <w:shd w:fill="F8FAFC"/>
            <w:tcMar>
              <w:top w:w="80" w:type="dxa"/>
              <w:bottom w:w="80" w:type="dxa"/>
              <w:left w:w="90" w:type="dxa"/>
              <w:right w:w="90" w:type="dxa"/>
            </w:tcMar>
          </w:tcPr>
          <w:p>
            <w:r>
              <w:rPr>
                <w:color w:val="334155"/>
                <w:sz w:val="18"/>
              </w:rPr>
              <w:t>Cool Slate &amp; Sky Blue UI design tokens, SVG minutiae overlay rendering, dual-mode visual comparison slider.</w:t>
            </w:r>
          </w:p>
        </w:tc>
      </w:tr>
    </w:tbl>
    <w:p>
      <w:pPr>
        <w:spacing w:before="160"/>
      </w:pPr>
    </w:p>
    <w:p>
      <w:pPr>
        <w:keepNext/>
        <w:spacing w:before="360" w:after="120"/>
      </w:pPr>
      <w:r>
        <w:rPr>
          <w:rFonts w:ascii="Calibri" w:hAnsi="Calibri"/>
          <w:b/>
          <w:color w:val="0F172A"/>
          <w:sz w:val="36"/>
        </w:rPr>
        <w:t>3. Algorithmic Methodologies &amp; Mathematical Formulations</w:t>
      </w:r>
    </w:p>
    <w:p>
      <w:pPr>
        <w:spacing w:before="0" w:after="120" w:line="276" w:lineRule="auto"/>
      </w:pPr>
      <w:r>
        <w:rPr>
          <w:rFonts w:ascii="Calibri" w:hAnsi="Calibri"/>
          <w:i w:val="0"/>
          <w:color w:val="334155"/>
          <w:sz w:val="21"/>
        </w:rPr>
        <w:t>The core innovation of BioCypher 2.0 lies in its modular Computer Vision Engine (cv_engine.py). The pipeline is divided into five sequential mathematical processing stages:</w:t>
      </w:r>
    </w:p>
    <w:p>
      <w:pPr>
        <w:keepNext/>
        <w:spacing w:before="240" w:after="80"/>
      </w:pPr>
      <w:r>
        <w:rPr>
          <w:rFonts w:ascii="Calibri" w:hAnsi="Calibri"/>
          <w:b/>
          <w:color w:val="0284C7"/>
          <w:sz w:val="28"/>
        </w:rPr>
        <w:t>3.1 Stage 1: Security Ingestion, Normalization &amp; CLAHE</w:t>
      </w:r>
    </w:p>
    <w:p>
      <w:pPr>
        <w:spacing w:before="0" w:after="120" w:line="276" w:lineRule="auto"/>
      </w:pPr>
      <w:r>
        <w:rPr>
          <w:rFonts w:ascii="Calibri" w:hAnsi="Calibri"/>
          <w:i w:val="0"/>
          <w:color w:val="334155"/>
          <w:sz w:val="21"/>
        </w:rPr>
        <w:t>Incoming images are ingested into a memory buffer and validated against magic-byte signatures. To prevent denial-of-service via decompression bombs, images exceeding 1920 pixels along their longest edge are proportionally downscaled using high-fidelity bicubic resampling.</w:t>
      </w:r>
    </w:p>
    <w:p>
      <w:pPr>
        <w:spacing w:before="0" w:after="120" w:line="276" w:lineRule="auto"/>
      </w:pPr>
      <w:r>
        <w:rPr>
          <w:rFonts w:ascii="Calibri" w:hAnsi="Calibri"/>
          <w:i w:val="0"/>
          <w:color w:val="334155"/>
          <w:sz w:val="21"/>
        </w:rPr>
        <w:t>Friction ridges in photographical skin regions suffer from non-uniform illumination and ambient color cast. The engine converts the image to the CIE L*a*b* color space and isolates the luminance (L) channel. Contrast Limited Adaptive Histogram Equalization (CLAHE) is then applied with an 8x8 contextual grid and a clip limit of 3.0:</w:t>
      </w:r>
    </w:p>
    <w:p>
      <w:pPr>
        <w:spacing w:before="0" w:after="120" w:line="276" w:lineRule="auto"/>
      </w:pPr>
      <w:r>
        <w:rPr>
          <w:rFonts w:ascii="Calibri" w:hAnsi="Calibri"/>
          <w:i/>
          <w:color w:val="334155"/>
          <w:sz w:val="21"/>
        </w:rPr>
        <w:t>CLAHE redistributes local pixel intensities to amplify low-contrast ridge valleys while preventing the over-amplification of high-frequency camera noise in uniform skin tones.</w:t>
      </w:r>
    </w:p>
    <w:p>
      <w:pPr>
        <w:keepNext/>
        <w:spacing w:before="240" w:after="80"/>
      </w:pPr>
      <w:r>
        <w:rPr>
          <w:rFonts w:ascii="Calibri" w:hAnsi="Calibri"/>
          <w:b/>
          <w:color w:val="0284C7"/>
          <w:sz w:val="28"/>
        </w:rPr>
        <w:t>3.2 Stage 2: Zero-DC Multi-Orientation Gabor Filter Bank</w:t>
      </w:r>
    </w:p>
    <w:p>
      <w:pPr>
        <w:spacing w:before="0" w:after="120" w:line="276" w:lineRule="auto"/>
      </w:pPr>
      <w:r>
        <w:rPr>
          <w:rFonts w:ascii="Calibri" w:hAnsi="Calibri"/>
          <w:i w:val="0"/>
          <w:color w:val="334155"/>
          <w:sz w:val="21"/>
        </w:rPr>
        <w:t>Human fingerprint ridges behave as localized sinusoidal gratings with specific spatial frequencies and orientations. BioCypher employs a custom 2D Gabor filter bank defined across six discrete angles: θ ∈ {0°, 30°, 60°, 90°, 120°, 150°}.</w:t>
      </w:r>
    </w:p>
    <w:p>
      <w:pPr>
        <w:spacing w:before="0" w:after="120" w:line="276" w:lineRule="auto"/>
      </w:pPr>
      <w:r>
        <w:rPr>
          <w:rFonts w:ascii="Calibri" w:hAnsi="Calibri"/>
          <w:b/>
          <w:color w:val="0F172A"/>
          <w:sz w:val="21"/>
        </w:rPr>
        <w:t xml:space="preserve">Mathematical Kernel Formulation: </w:t>
      </w:r>
      <w:r>
        <w:rPr>
          <w:rFonts w:ascii="Calibri" w:hAnsi="Calibri"/>
          <w:i w:val="0"/>
          <w:color w:val="334155"/>
          <w:sz w:val="21"/>
        </w:rPr>
        <w:t>The continuous 2D Gabor function is parameterized as follows:</w:t>
      </w:r>
    </w:p>
    <w:p>
      <w:pPr>
        <w:spacing w:before="0" w:after="120" w:line="276" w:lineRule="auto"/>
      </w:pPr>
      <w:r>
        <w:rPr>
          <w:rFonts w:ascii="Calibri" w:hAnsi="Calibri"/>
          <w:i w:val="0"/>
          <w:color w:val="334155"/>
          <w:sz w:val="21"/>
        </w:rPr>
        <w:t>g(x, y; λ, θ, ψ, σ, γ) = exp( - (x'² + γ²y'²) / (2σ²) ) * cos( 2π * (x' / λ) + ψ )</w:t>
        <w:br/>
        <w:t>where:  x' = x*cos(θ) + y*sin(θ),   y' = -x*sin(θ) + y*cos(θ)</w:t>
        <w:br/>
        <w:t>λ (wavelength) = 8.0 pixels,  σ (Gaussian envelope) = 3.5,  γ (aspect ratio) = 0.5,  ψ (phase offset) = 0.</w:t>
      </w:r>
    </w:p>
    <w:p>
      <w:pPr>
        <w:spacing w:before="0" w:after="120" w:line="276" w:lineRule="auto"/>
      </w:pPr>
      <w:r>
        <w:rPr>
          <w:rFonts w:ascii="Calibri" w:hAnsi="Calibri"/>
          <w:i w:val="0"/>
          <w:color w:val="334155"/>
          <w:sz w:val="21"/>
        </w:rPr>
        <w:t>Crucially, standard Gabor kernels contain a non-zero DC bias that inadvertently causes flat, uniform skin regions to generate strong false-positive responses. BioCypher enforces Zero-DC Normalization by subtracting the kernel's mean from each element:  g_0(x, y) = g(x, y) - (1/N) * Σ g(x, y). Consequently, uniform skin regions produce an absolute mathematical response of zero, while periodic ridge structures resonate intensely.</w:t>
      </w:r>
    </w:p>
    <w:p>
      <w:pPr>
        <w:keepNext/>
        <w:spacing w:before="240" w:after="80"/>
      </w:pPr>
      <w:r>
        <w:rPr>
          <w:rFonts w:ascii="Calibri" w:hAnsi="Calibri"/>
          <w:b/>
          <w:color w:val="0284C7"/>
          <w:sz w:val="28"/>
        </w:rPr>
        <w:t>3.3 Stage 3: Morphological Thinning &amp; AFIS Crossing Number Extraction</w:t>
      </w:r>
    </w:p>
    <w:p>
      <w:pPr>
        <w:spacing w:before="0" w:after="120" w:line="276" w:lineRule="auto"/>
      </w:pPr>
      <w:r>
        <w:rPr>
          <w:rFonts w:ascii="Calibri" w:hAnsi="Calibri"/>
          <w:i w:val="0"/>
          <w:color w:val="334155"/>
          <w:sz w:val="21"/>
        </w:rPr>
        <w:t>To extract forensic minutiae keypoints, enhanced ridge images are binarized using Otsu's adaptive thresholding and reduced to single-pixel skeletons via Zhang-Suen morphological thinning. Once skeletonized, the engine scans the 3x3 local neighborhood of every ridge pixel (P) using the classic AFIS Crossing Number (CN) formula:</w:t>
      </w:r>
    </w:p>
    <w:p>
      <w:pPr>
        <w:spacing w:before="0" w:after="120" w:line="276" w:lineRule="auto"/>
      </w:pPr>
      <w:r>
        <w:rPr>
          <w:rFonts w:ascii="Calibri" w:hAnsi="Calibri"/>
          <w:i w:val="0"/>
          <w:color w:val="334155"/>
          <w:sz w:val="21"/>
        </w:rPr>
        <w:t>CN(P) = 0.5 * Σ | P_i - P_{i+1} |  for i = 1 to 8, with P_9 = P_1</w:t>
      </w:r>
    </w:p>
    <w:p>
      <w:pPr>
        <w:spacing w:before="0" w:after="120" w:line="276" w:lineRule="auto"/>
      </w:pPr>
      <w:r>
        <w:rPr>
          <w:rFonts w:ascii="Calibri" w:hAnsi="Calibri"/>
          <w:i w:val="0"/>
          <w:color w:val="334155"/>
          <w:sz w:val="21"/>
        </w:rPr>
        <w:t>The resulting Crossing Number rigorously classifies candidate minutiae into forensic categories:</w:t>
      </w:r>
    </w:p>
    <w:p>
      <w:pPr>
        <w:spacing w:before="0" w:after="120" w:line="276" w:lineRule="auto"/>
      </w:pPr>
      <w:r>
        <w:rPr>
          <w:rFonts w:ascii="Calibri" w:hAnsi="Calibri"/>
          <w:i w:val="0"/>
          <w:color w:val="334155"/>
          <w:sz w:val="21"/>
        </w:rPr>
        <w:t>• CN = 1 ➔ Ridge Termination (Ending): the friction ridge reaches an abrupt conclusion (marked in Cyan).</w:t>
      </w:r>
    </w:p>
    <w:p>
      <w:pPr>
        <w:spacing w:before="0" w:after="120" w:line="276" w:lineRule="auto"/>
      </w:pPr>
      <w:r>
        <w:rPr>
          <w:rFonts w:ascii="Calibri" w:hAnsi="Calibri"/>
          <w:i w:val="0"/>
          <w:color w:val="334155"/>
          <w:sz w:val="21"/>
        </w:rPr>
        <w:t>• CN = 3 ➔ Ridge Bifurcation: a single friction ridge splits into two distinct divergent paths (marked in Magenta).</w:t>
      </w:r>
    </w:p>
    <w:p>
      <w:pPr>
        <w:spacing w:before="0" w:after="120" w:line="276" w:lineRule="auto"/>
      </w:pPr>
      <w:r>
        <w:rPr>
          <w:rFonts w:ascii="Calibri" w:hAnsi="Calibri"/>
          <w:i w:val="0"/>
          <w:color w:val="334155"/>
          <w:sz w:val="21"/>
        </w:rPr>
        <w:t>• CN = 2 ➔ Continuous Ridge: a standard internal ridge segment (discarded).</w:t>
      </w:r>
    </w:p>
    <w:p>
      <w:pPr>
        <w:spacing w:before="0" w:after="120" w:line="276" w:lineRule="auto"/>
      </w:pPr>
      <w:r>
        <w:rPr>
          <w:rFonts w:ascii="Calibri" w:hAnsi="Calibri"/>
          <w:i w:val="0"/>
          <w:color w:val="334155"/>
          <w:sz w:val="21"/>
        </w:rPr>
        <w:t>• CN &gt;= 4 ➔ Complex Crossover / Cluster: typically an artifact of camera blur or noise (filtered out).</w:t>
      </w:r>
    </w:p>
    <w:p>
      <w:pPr>
        <w:spacing w:before="0" w:after="120" w:line="276" w:lineRule="auto"/>
      </w:pPr>
      <w:r>
        <w:rPr>
          <w:rFonts w:ascii="Calibri" w:hAnsi="Calibri"/>
          <w:i w:val="0"/>
          <w:color w:val="334155"/>
          <w:sz w:val="21"/>
        </w:rPr>
        <w:t>Border artifacts and spurious minutiae within 15 pixels of the finger boundary or clustered within 10 pixels of each other are pruned using Euclidean distance non-maximum suppression.</w:t>
      </w:r>
    </w:p>
    <w:p>
      <w:pPr>
        <w:keepNext/>
        <w:spacing w:before="240" w:after="80"/>
      </w:pPr>
      <w:r>
        <w:rPr>
          <w:rFonts w:ascii="Calibri" w:hAnsi="Calibri"/>
          <w:b/>
          <w:color w:val="0284C7"/>
          <w:sz w:val="28"/>
        </w:rPr>
        <w:t>3.4 Stage 4: NIST SP 800-76-2 Scoring &amp; Clone Spoof Feasibility</w:t>
      </w:r>
    </w:p>
    <w:p>
      <w:pPr>
        <w:spacing w:before="0" w:after="120" w:line="276" w:lineRule="auto"/>
      </w:pPr>
      <w:r>
        <w:rPr>
          <w:rFonts w:ascii="Calibri" w:hAnsi="Calibri"/>
          <w:i w:val="0"/>
          <w:color w:val="334155"/>
          <w:sz w:val="21"/>
        </w:rPr>
        <w:t>In forensic science and biometric security (NIST Special Publication 800-76-2), a fingerprint match requires a minimum of 12 clear, uncorrupted minutiae keypoints for legal admissibility in court and positive automated identification in AFIS systems.</w:t>
      </w:r>
    </w:p>
    <w:p>
      <w:pPr>
        <w:spacing w:before="0" w:after="120" w:line="276" w:lineRule="auto"/>
      </w:pPr>
      <w:r>
        <w:rPr>
          <w:rFonts w:ascii="Calibri" w:hAnsi="Calibri"/>
          <w:b/>
          <w:color w:val="0F172A"/>
          <w:sz w:val="21"/>
        </w:rPr>
        <w:t xml:space="preserve">Composite Threat Function: </w:t>
      </w:r>
      <w:r>
        <w:rPr>
          <w:rFonts w:ascii="Calibri" w:hAnsi="Calibri"/>
          <w:i w:val="0"/>
          <w:color w:val="334155"/>
          <w:sz w:val="21"/>
        </w:rPr>
        <w:t>BioCypher computes a continuous Vulnerability Score (0 to 100%) through weighted multi-factor fusion:</w:t>
      </w:r>
    </w:p>
    <w:p>
      <w:pPr>
        <w:spacing w:before="0" w:after="120" w:line="276" w:lineRule="auto"/>
      </w:pPr>
      <w:r>
        <w:rPr>
          <w:rFonts w:ascii="Calibri" w:hAnsi="Calibri"/>
          <w:i w:val="0"/>
          <w:color w:val="334155"/>
          <w:sz w:val="21"/>
        </w:rPr>
        <w:t>Score = min( 100,  (Ridge_Energy * 0.40) + (min(Minutiae_Count, 30) / 30 * 40.0) + (Laplacian_Sharpness * 0.20) )</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80" w:type="dxa"/>
              <w:right w:w="80" w:type="dxa"/>
            </w:tcMar>
          </w:tcPr>
          <w:p>
            <w:r>
              <w:rPr>
                <w:b/>
                <w:color w:val="FFFFFF"/>
                <w:sz w:val="18"/>
              </w:rPr>
              <w:t>Risk Level</w:t>
            </w:r>
          </w:p>
        </w:tc>
        <w:tc>
          <w:tcPr>
            <w:tcW w:type="dxa" w:w="2340"/>
            <w:shd w:fill="0F172A"/>
            <w:tcMar>
              <w:top w:w="80" w:type="dxa"/>
              <w:bottom w:w="80" w:type="dxa"/>
              <w:left w:w="80" w:type="dxa"/>
              <w:right w:w="80" w:type="dxa"/>
            </w:tcMar>
          </w:tcPr>
          <w:p>
            <w:r>
              <w:rPr>
                <w:b/>
                <w:color w:val="FFFFFF"/>
                <w:sz w:val="18"/>
              </w:rPr>
              <w:t>Score Range</w:t>
            </w:r>
          </w:p>
        </w:tc>
        <w:tc>
          <w:tcPr>
            <w:tcW w:type="dxa" w:w="2340"/>
            <w:shd w:fill="0F172A"/>
            <w:tcMar>
              <w:top w:w="80" w:type="dxa"/>
              <w:bottom w:w="80" w:type="dxa"/>
              <w:left w:w="80" w:type="dxa"/>
              <w:right w:w="80" w:type="dxa"/>
            </w:tcMar>
          </w:tcPr>
          <w:p>
            <w:r>
              <w:rPr>
                <w:b/>
                <w:color w:val="FFFFFF"/>
                <w:sz w:val="18"/>
              </w:rPr>
              <w:t>Minutiae Detected</w:t>
            </w:r>
          </w:p>
        </w:tc>
        <w:tc>
          <w:tcPr>
            <w:tcW w:type="dxa" w:w="2340"/>
            <w:shd w:fill="0F172A"/>
            <w:tcMar>
              <w:top w:w="80" w:type="dxa"/>
              <w:bottom w:w="80" w:type="dxa"/>
              <w:left w:w="80" w:type="dxa"/>
              <w:right w:w="80" w:type="dxa"/>
            </w:tcMar>
          </w:tcPr>
          <w:p>
            <w:r>
              <w:rPr>
                <w:b/>
                <w:color w:val="FFFFFF"/>
                <w:sz w:val="18"/>
              </w:rPr>
              <w:t>Forensic Clone Feasibility</w:t>
            </w:r>
          </w:p>
        </w:tc>
      </w:tr>
      <w:tr>
        <w:tc>
          <w:tcPr>
            <w:tcW w:type="dxa" w:w="2340"/>
            <w:shd w:fill="F8FAFC"/>
            <w:tcMar>
              <w:top w:w="70" w:type="dxa"/>
              <w:bottom w:w="70" w:type="dxa"/>
              <w:left w:w="80" w:type="dxa"/>
              <w:right w:w="80" w:type="dxa"/>
            </w:tcMar>
          </w:tcPr>
          <w:p>
            <w:r>
              <w:rPr>
                <w:b/>
                <w:color w:val="0F172A"/>
                <w:sz w:val="17"/>
              </w:rPr>
              <w:t>CRITICAL / HIGH</w:t>
            </w:r>
          </w:p>
        </w:tc>
        <w:tc>
          <w:tcPr>
            <w:tcW w:type="dxa" w:w="2340"/>
            <w:shd w:fill="F8FAFC"/>
            <w:tcMar>
              <w:top w:w="70" w:type="dxa"/>
              <w:bottom w:w="70" w:type="dxa"/>
              <w:left w:w="80" w:type="dxa"/>
              <w:right w:w="80" w:type="dxa"/>
            </w:tcMar>
          </w:tcPr>
          <w:p>
            <w:r>
              <w:rPr>
                <w:color w:val="334155"/>
                <w:sz w:val="17"/>
              </w:rPr>
              <w:t>70 - 100%</w:t>
            </w:r>
          </w:p>
        </w:tc>
        <w:tc>
          <w:tcPr>
            <w:tcW w:type="dxa" w:w="2340"/>
            <w:shd w:fill="F8FAFC"/>
            <w:tcMar>
              <w:top w:w="70" w:type="dxa"/>
              <w:bottom w:w="70" w:type="dxa"/>
              <w:left w:w="80" w:type="dxa"/>
              <w:right w:w="80" w:type="dxa"/>
            </w:tcMar>
          </w:tcPr>
          <w:p>
            <w:r>
              <w:rPr>
                <w:color w:val="334155"/>
                <w:sz w:val="17"/>
              </w:rPr>
              <w:t>&gt;= 12 Minutiae (NIST Met)</w:t>
            </w:r>
          </w:p>
        </w:tc>
        <w:tc>
          <w:tcPr>
            <w:tcW w:type="dxa" w:w="2340"/>
            <w:shd w:fill="F8FAFC"/>
            <w:tcMar>
              <w:top w:w="70" w:type="dxa"/>
              <w:bottom w:w="70" w:type="dxa"/>
              <w:left w:w="80" w:type="dxa"/>
              <w:right w:w="80" w:type="dxa"/>
            </w:tcMar>
          </w:tcPr>
          <w:p>
            <w:r>
              <w:rPr>
                <w:color w:val="334155"/>
                <w:sz w:val="17"/>
              </w:rPr>
              <w:t>VIABLE: Ridge detail sufficient to manufacture physical conductive silicone/gelatin spoof molds.</w:t>
            </w:r>
          </w:p>
        </w:tc>
      </w:tr>
      <w:tr>
        <w:tc>
          <w:tcPr>
            <w:tcW w:type="dxa" w:w="2340"/>
            <w:shd w:fill="FFFFFF"/>
            <w:tcMar>
              <w:top w:w="70" w:type="dxa"/>
              <w:bottom w:w="70" w:type="dxa"/>
              <w:left w:w="80" w:type="dxa"/>
              <w:right w:w="80" w:type="dxa"/>
            </w:tcMar>
          </w:tcPr>
          <w:p>
            <w:r>
              <w:rPr>
                <w:b/>
                <w:color w:val="0F172A"/>
                <w:sz w:val="17"/>
              </w:rPr>
              <w:t>MODERATE / MEDIUM</w:t>
            </w:r>
          </w:p>
        </w:tc>
        <w:tc>
          <w:tcPr>
            <w:tcW w:type="dxa" w:w="2340"/>
            <w:shd w:fill="FFFFFF"/>
            <w:tcMar>
              <w:top w:w="70" w:type="dxa"/>
              <w:bottom w:w="70" w:type="dxa"/>
              <w:left w:w="80" w:type="dxa"/>
              <w:right w:w="80" w:type="dxa"/>
            </w:tcMar>
          </w:tcPr>
          <w:p>
            <w:r>
              <w:rPr>
                <w:color w:val="334155"/>
                <w:sz w:val="17"/>
              </w:rPr>
              <w:t>40 - 69%</w:t>
            </w:r>
          </w:p>
        </w:tc>
        <w:tc>
          <w:tcPr>
            <w:tcW w:type="dxa" w:w="2340"/>
            <w:shd w:fill="FFFFFF"/>
            <w:tcMar>
              <w:top w:w="70" w:type="dxa"/>
              <w:bottom w:w="70" w:type="dxa"/>
              <w:left w:w="80" w:type="dxa"/>
              <w:right w:w="80" w:type="dxa"/>
            </w:tcMar>
          </w:tcPr>
          <w:p>
            <w:r>
              <w:rPr>
                <w:color w:val="334155"/>
                <w:sz w:val="17"/>
              </w:rPr>
              <w:t>6 - 11 Minutiae</w:t>
            </w:r>
          </w:p>
        </w:tc>
        <w:tc>
          <w:tcPr>
            <w:tcW w:type="dxa" w:w="2340"/>
            <w:shd w:fill="FFFFFF"/>
            <w:tcMar>
              <w:top w:w="70" w:type="dxa"/>
              <w:bottom w:w="70" w:type="dxa"/>
              <w:left w:w="80" w:type="dxa"/>
              <w:right w:w="80" w:type="dxa"/>
            </w:tcMar>
          </w:tcPr>
          <w:p>
            <w:r>
              <w:rPr>
                <w:color w:val="334155"/>
                <w:sz w:val="17"/>
              </w:rPr>
              <w:t>PARTIAL: Moderate exposure. May allow partial template matching or brute-force sensor bypass.</w:t>
            </w:r>
          </w:p>
        </w:tc>
      </w:tr>
      <w:tr>
        <w:tc>
          <w:tcPr>
            <w:tcW w:type="dxa" w:w="2340"/>
            <w:shd w:fill="F8FAFC"/>
            <w:tcMar>
              <w:top w:w="70" w:type="dxa"/>
              <w:bottom w:w="70" w:type="dxa"/>
              <w:left w:w="80" w:type="dxa"/>
              <w:right w:w="80" w:type="dxa"/>
            </w:tcMar>
          </w:tcPr>
          <w:p>
            <w:r>
              <w:rPr>
                <w:b/>
                <w:color w:val="0F172A"/>
                <w:sz w:val="17"/>
              </w:rPr>
              <w:t>LOW / SAFE</w:t>
            </w:r>
          </w:p>
        </w:tc>
        <w:tc>
          <w:tcPr>
            <w:tcW w:type="dxa" w:w="2340"/>
            <w:shd w:fill="F8FAFC"/>
            <w:tcMar>
              <w:top w:w="70" w:type="dxa"/>
              <w:bottom w:w="70" w:type="dxa"/>
              <w:left w:w="80" w:type="dxa"/>
              <w:right w:w="80" w:type="dxa"/>
            </w:tcMar>
          </w:tcPr>
          <w:p>
            <w:r>
              <w:rPr>
                <w:color w:val="334155"/>
                <w:sz w:val="17"/>
              </w:rPr>
              <w:t>0 - 39%</w:t>
            </w:r>
          </w:p>
        </w:tc>
        <w:tc>
          <w:tcPr>
            <w:tcW w:type="dxa" w:w="2340"/>
            <w:shd w:fill="F8FAFC"/>
            <w:tcMar>
              <w:top w:w="70" w:type="dxa"/>
              <w:bottom w:w="70" w:type="dxa"/>
              <w:left w:w="80" w:type="dxa"/>
              <w:right w:w="80" w:type="dxa"/>
            </w:tcMar>
          </w:tcPr>
          <w:p>
            <w:r>
              <w:rPr>
                <w:color w:val="334155"/>
                <w:sz w:val="17"/>
              </w:rPr>
              <w:t>&lt; 6 Minutiae</w:t>
            </w:r>
          </w:p>
        </w:tc>
        <w:tc>
          <w:tcPr>
            <w:tcW w:type="dxa" w:w="2340"/>
            <w:shd w:fill="F8FAFC"/>
            <w:tcMar>
              <w:top w:w="70" w:type="dxa"/>
              <w:bottom w:w="70" w:type="dxa"/>
              <w:left w:w="80" w:type="dxa"/>
              <w:right w:w="80" w:type="dxa"/>
            </w:tcMar>
          </w:tcPr>
          <w:p>
            <w:r>
              <w:rPr>
                <w:color w:val="334155"/>
                <w:sz w:val="17"/>
              </w:rPr>
              <w:t>UNVIABLE: Insufficient ridge contrast or resolution. Sensor spoofing impossible from this photo.</w:t>
            </w:r>
          </w:p>
        </w:tc>
      </w:tr>
    </w:tbl>
    <w:p>
      <w:pPr>
        <w:keepNext/>
        <w:spacing w:before="240" w:after="80"/>
      </w:pPr>
      <w:r>
        <w:rPr>
          <w:rFonts w:ascii="Calibri" w:hAnsi="Calibri"/>
          <w:b/>
          <w:color w:val="0284C7"/>
          <w:sz w:val="28"/>
        </w:rPr>
        <w:t>3.5 Stage 5: Proactive 1-Click Privacy Sanitizer (Ridge Blur Shield)</w:t>
      </w:r>
    </w:p>
    <w:p>
      <w:pPr>
        <w:spacing w:before="0" w:after="120" w:line="276" w:lineRule="auto"/>
      </w:pPr>
      <w:r>
        <w:rPr>
          <w:rFonts w:ascii="Calibri" w:hAnsi="Calibri"/>
          <w:i w:val="0"/>
          <w:color w:val="334155"/>
          <w:sz w:val="21"/>
        </w:rPr>
        <w:t>When an image is deemed vulnerable, BioCypher offers an active defense countermeasure. Rather than crudely blacking out fingers with opaque rectangles, the engine applies a selective, frequency-based Gaussian blur (kernel size 31x31, σ = 9.0) bounded by an adaptive edge-preserving bilateral mask. This obliterates the microscopic epidermal ridge frequencies (reducing detected minutiae to zero) while preserving the natural skin tone, hand geometry, and social aesthetic of the photograph.</w:t>
      </w:r>
    </w:p>
    <w:p>
      <w:pPr>
        <w:keepNext/>
        <w:spacing w:before="360" w:after="120"/>
      </w:pPr>
      <w:r>
        <w:rPr>
          <w:rFonts w:ascii="Calibri" w:hAnsi="Calibri"/>
          <w:b/>
          <w:color w:val="0F172A"/>
          <w:sz w:val="36"/>
        </w:rPr>
        <w:t>4. Security Hardening &amp; OWASP Compliance</w:t>
      </w:r>
    </w:p>
    <w:p>
      <w:pPr>
        <w:spacing w:before="0" w:after="120" w:line="276" w:lineRule="auto"/>
      </w:pPr>
      <w:r>
        <w:rPr>
          <w:rFonts w:ascii="Calibri" w:hAnsi="Calibri"/>
          <w:i w:val="0"/>
          <w:color w:val="334155"/>
          <w:sz w:val="21"/>
        </w:rPr>
        <w:t>Because BioCypher is a cybersecurity application that ingests untrusted user files from the internet, the system itself is rigorously hardened against application-layer vulnerabilities following the OWASP Top 10 guidelines: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80" w:type="dxa"/>
              <w:right w:w="80" w:type="dxa"/>
            </w:tcMar>
          </w:tcPr>
          <w:p>
            <w:r>
              <w:rPr>
                <w:b/>
                <w:color w:val="FFFFFF"/>
                <w:sz w:val="18"/>
              </w:rPr>
              <w:t>Threat Vector / CWE</w:t>
            </w:r>
          </w:p>
        </w:tc>
        <w:tc>
          <w:tcPr>
            <w:tcW w:type="dxa" w:w="3120"/>
            <w:shd w:fill="0F172A"/>
            <w:tcMar>
              <w:top w:w="80" w:type="dxa"/>
              <w:bottom w:w="80" w:type="dxa"/>
              <w:left w:w="80" w:type="dxa"/>
              <w:right w:w="80" w:type="dxa"/>
            </w:tcMar>
          </w:tcPr>
          <w:p>
            <w:r>
              <w:rPr>
                <w:b/>
                <w:color w:val="FFFFFF"/>
                <w:sz w:val="18"/>
              </w:rPr>
              <w:t>Vulnerability Risk</w:t>
            </w:r>
          </w:p>
        </w:tc>
        <w:tc>
          <w:tcPr>
            <w:tcW w:type="dxa" w:w="3120"/>
            <w:shd w:fill="0F172A"/>
            <w:tcMar>
              <w:top w:w="80" w:type="dxa"/>
              <w:bottom w:w="80" w:type="dxa"/>
              <w:left w:w="80" w:type="dxa"/>
              <w:right w:w="80" w:type="dxa"/>
            </w:tcMar>
          </w:tcPr>
          <w:p>
            <w:r>
              <w:rPr>
                <w:b/>
                <w:color w:val="FFFFFF"/>
                <w:sz w:val="18"/>
              </w:rPr>
              <w:t>BioCypher 2.0 Hardening Countermeasure</w:t>
            </w:r>
          </w:p>
        </w:tc>
      </w:tr>
      <w:tr>
        <w:tc>
          <w:tcPr>
            <w:tcW w:type="dxa" w:w="3120"/>
            <w:shd w:fill="F8FAFC"/>
            <w:tcMar>
              <w:top w:w="70" w:type="dxa"/>
              <w:bottom w:w="70" w:type="dxa"/>
              <w:left w:w="80" w:type="dxa"/>
              <w:right w:w="80" w:type="dxa"/>
            </w:tcMar>
          </w:tcPr>
          <w:p>
            <w:r>
              <w:rPr>
                <w:b/>
                <w:color w:val="0F172A"/>
                <w:sz w:val="17"/>
              </w:rPr>
              <w:t>Decompression Bomb (CWE-400)</w:t>
            </w:r>
          </w:p>
        </w:tc>
        <w:tc>
          <w:tcPr>
            <w:tcW w:type="dxa" w:w="3120"/>
            <w:shd w:fill="F8FAFC"/>
            <w:tcMar>
              <w:top w:w="70" w:type="dxa"/>
              <w:bottom w:w="70" w:type="dxa"/>
              <w:left w:w="80" w:type="dxa"/>
              <w:right w:w="80" w:type="dxa"/>
            </w:tcMar>
          </w:tcPr>
          <w:p>
            <w:r>
              <w:rPr>
                <w:color w:val="334155"/>
                <w:sz w:val="17"/>
              </w:rPr>
              <w:t>Specially crafted tiny files expanding to gigabytes in RAM.</w:t>
            </w:r>
          </w:p>
        </w:tc>
        <w:tc>
          <w:tcPr>
            <w:tcW w:type="dxa" w:w="3120"/>
            <w:shd w:fill="F8FAFC"/>
            <w:tcMar>
              <w:top w:w="70" w:type="dxa"/>
              <w:bottom w:w="70" w:type="dxa"/>
              <w:left w:w="80" w:type="dxa"/>
              <w:right w:w="80" w:type="dxa"/>
            </w:tcMar>
          </w:tcPr>
          <w:p>
            <w:r>
              <w:rPr>
                <w:color w:val="334155"/>
                <w:sz w:val="17"/>
              </w:rPr>
              <w:t>PIL MAX_IMAGE_PIXELS enforced + proactive bicubic downscaling capped at 1920px max dimension.</w:t>
            </w:r>
          </w:p>
        </w:tc>
      </w:tr>
      <w:tr>
        <w:tc>
          <w:tcPr>
            <w:tcW w:type="dxa" w:w="3120"/>
            <w:shd w:fill="FFFFFF"/>
            <w:tcMar>
              <w:top w:w="70" w:type="dxa"/>
              <w:bottom w:w="70" w:type="dxa"/>
              <w:left w:w="80" w:type="dxa"/>
              <w:right w:w="80" w:type="dxa"/>
            </w:tcMar>
          </w:tcPr>
          <w:p>
            <w:r>
              <w:rPr>
                <w:b/>
                <w:color w:val="0F172A"/>
                <w:sz w:val="17"/>
              </w:rPr>
              <w:t>File Upload Polyglot / MIME Spoofing (CWE-434)</w:t>
            </w:r>
          </w:p>
        </w:tc>
        <w:tc>
          <w:tcPr>
            <w:tcW w:type="dxa" w:w="3120"/>
            <w:shd w:fill="FFFFFF"/>
            <w:tcMar>
              <w:top w:w="70" w:type="dxa"/>
              <w:bottom w:w="70" w:type="dxa"/>
              <w:left w:w="80" w:type="dxa"/>
              <w:right w:w="80" w:type="dxa"/>
            </w:tcMar>
          </w:tcPr>
          <w:p>
            <w:r>
              <w:rPr>
                <w:color w:val="334155"/>
                <w:sz w:val="17"/>
              </w:rPr>
              <w:t>Executable scripts masked with .jpg or .png file extensions.</w:t>
            </w:r>
          </w:p>
        </w:tc>
        <w:tc>
          <w:tcPr>
            <w:tcW w:type="dxa" w:w="3120"/>
            <w:shd w:fill="FFFFFF"/>
            <w:tcMar>
              <w:top w:w="70" w:type="dxa"/>
              <w:bottom w:w="70" w:type="dxa"/>
              <w:left w:w="80" w:type="dxa"/>
              <w:right w:w="80" w:type="dxa"/>
            </w:tcMar>
          </w:tcPr>
          <w:p>
            <w:r>
              <w:rPr>
                <w:color w:val="334155"/>
                <w:sz w:val="17"/>
              </w:rPr>
              <w:t>Binary magic-byte inspection (checking actual JFIF/PNG/RIFF header bytes, rejecting spoofed extensions).</w:t>
            </w:r>
          </w:p>
        </w:tc>
      </w:tr>
      <w:tr>
        <w:tc>
          <w:tcPr>
            <w:tcW w:type="dxa" w:w="3120"/>
            <w:shd w:fill="F8FAFC"/>
            <w:tcMar>
              <w:top w:w="70" w:type="dxa"/>
              <w:bottom w:w="70" w:type="dxa"/>
              <w:left w:w="80" w:type="dxa"/>
              <w:right w:w="80" w:type="dxa"/>
            </w:tcMar>
          </w:tcPr>
          <w:p>
            <w:r>
              <w:rPr>
                <w:b/>
                <w:color w:val="0F172A"/>
                <w:sz w:val="17"/>
              </w:rPr>
              <w:t>Denial of Service / Resource Exhaustion (CWE-770)</w:t>
            </w:r>
          </w:p>
        </w:tc>
        <w:tc>
          <w:tcPr>
            <w:tcW w:type="dxa" w:w="3120"/>
            <w:shd w:fill="F8FAFC"/>
            <w:tcMar>
              <w:top w:w="70" w:type="dxa"/>
              <w:bottom w:w="70" w:type="dxa"/>
              <w:left w:w="80" w:type="dxa"/>
              <w:right w:w="80" w:type="dxa"/>
            </w:tcMar>
          </w:tcPr>
          <w:p>
            <w:r>
              <w:rPr>
                <w:color w:val="334155"/>
                <w:sz w:val="17"/>
              </w:rPr>
              <w:t>Flooding computational computer vision endpoints.</w:t>
            </w:r>
          </w:p>
        </w:tc>
        <w:tc>
          <w:tcPr>
            <w:tcW w:type="dxa" w:w="3120"/>
            <w:shd w:fill="F8FAFC"/>
            <w:tcMar>
              <w:top w:w="70" w:type="dxa"/>
              <w:bottom w:w="70" w:type="dxa"/>
              <w:left w:w="80" w:type="dxa"/>
              <w:right w:w="80" w:type="dxa"/>
            </w:tcMar>
          </w:tcPr>
          <w:p>
            <w:r>
              <w:rPr>
                <w:color w:val="334155"/>
                <w:sz w:val="17"/>
              </w:rPr>
              <w:t>Sliding-window IP rate limiter restricting clients to 30 analysis/sanitization requests per minute.</w:t>
            </w:r>
          </w:p>
        </w:tc>
      </w:tr>
      <w:tr>
        <w:tc>
          <w:tcPr>
            <w:tcW w:type="dxa" w:w="3120"/>
            <w:shd w:fill="FFFFFF"/>
            <w:tcMar>
              <w:top w:w="70" w:type="dxa"/>
              <w:bottom w:w="70" w:type="dxa"/>
              <w:left w:w="80" w:type="dxa"/>
              <w:right w:w="80" w:type="dxa"/>
            </w:tcMar>
          </w:tcPr>
          <w:p>
            <w:r>
              <w:rPr>
                <w:b/>
                <w:color w:val="0F172A"/>
                <w:sz w:val="17"/>
              </w:rPr>
              <w:t>Cross-Site Scripting (XSS) (CWE-79)</w:t>
            </w:r>
          </w:p>
        </w:tc>
        <w:tc>
          <w:tcPr>
            <w:tcW w:type="dxa" w:w="3120"/>
            <w:shd w:fill="FFFFFF"/>
            <w:tcMar>
              <w:top w:w="70" w:type="dxa"/>
              <w:bottom w:w="70" w:type="dxa"/>
              <w:left w:w="80" w:type="dxa"/>
              <w:right w:w="80" w:type="dxa"/>
            </w:tcMar>
          </w:tcPr>
          <w:p>
            <w:r>
              <w:rPr>
                <w:color w:val="334155"/>
                <w:sz w:val="17"/>
              </w:rPr>
              <w:t>Malicious payloads injected into file names or image metadata.</w:t>
            </w:r>
          </w:p>
        </w:tc>
        <w:tc>
          <w:tcPr>
            <w:tcW w:type="dxa" w:w="3120"/>
            <w:shd w:fill="FFFFFF"/>
            <w:tcMar>
              <w:top w:w="70" w:type="dxa"/>
              <w:bottom w:w="70" w:type="dxa"/>
              <w:left w:w="80" w:type="dxa"/>
              <w:right w:w="80" w:type="dxa"/>
            </w:tcMar>
          </w:tcPr>
          <w:p>
            <w:r>
              <w:rPr>
                <w:color w:val="334155"/>
                <w:sz w:val="17"/>
              </w:rPr>
              <w:t>Strict Content-Security-Policy (CSP) with script-src 'self', object-src 'none', and safe DOM textContent rendering.</w:t>
            </w:r>
          </w:p>
        </w:tc>
      </w:tr>
      <w:tr>
        <w:tc>
          <w:tcPr>
            <w:tcW w:type="dxa" w:w="3120"/>
            <w:shd w:fill="F8FAFC"/>
            <w:tcMar>
              <w:top w:w="70" w:type="dxa"/>
              <w:bottom w:w="70" w:type="dxa"/>
              <w:left w:w="80" w:type="dxa"/>
              <w:right w:w="80" w:type="dxa"/>
            </w:tcMar>
          </w:tcPr>
          <w:p>
            <w:r>
              <w:rPr>
                <w:b/>
                <w:color w:val="0F172A"/>
                <w:sz w:val="17"/>
              </w:rPr>
              <w:t>Clickjacking &amp; MIME Sniffing</w:t>
            </w:r>
          </w:p>
        </w:tc>
        <w:tc>
          <w:tcPr>
            <w:tcW w:type="dxa" w:w="3120"/>
            <w:shd w:fill="F8FAFC"/>
            <w:tcMar>
              <w:top w:w="70" w:type="dxa"/>
              <w:bottom w:w="70" w:type="dxa"/>
              <w:left w:w="80" w:type="dxa"/>
              <w:right w:w="80" w:type="dxa"/>
            </w:tcMar>
          </w:tcPr>
          <w:p>
            <w:r>
              <w:rPr>
                <w:color w:val="334155"/>
                <w:sz w:val="17"/>
              </w:rPr>
              <w:t>Embedding portal inside malicious iframes; browser MIME confusion.</w:t>
            </w:r>
          </w:p>
        </w:tc>
        <w:tc>
          <w:tcPr>
            <w:tcW w:type="dxa" w:w="3120"/>
            <w:shd w:fill="F8FAFC"/>
            <w:tcMar>
              <w:top w:w="70" w:type="dxa"/>
              <w:bottom w:w="70" w:type="dxa"/>
              <w:left w:w="80" w:type="dxa"/>
              <w:right w:w="80" w:type="dxa"/>
            </w:tcMar>
          </w:tcPr>
          <w:p>
            <w:r>
              <w:rPr>
                <w:color w:val="334155"/>
                <w:sz w:val="17"/>
              </w:rPr>
              <w:t>Enforced HTTP headers: X-Frame-Options: DENY, X-Content-Type-Options: nosniff, Strict-Transport-Security.</w:t>
            </w:r>
          </w:p>
        </w:tc>
      </w:tr>
    </w:tbl>
    <w:p>
      <w:pPr>
        <w:spacing w:before="160"/>
      </w:pPr>
    </w:p>
    <w:p>
      <w:pPr>
        <w:keepNext/>
        <w:spacing w:before="360" w:after="120"/>
      </w:pPr>
      <w:r>
        <w:rPr>
          <w:rFonts w:ascii="Calibri" w:hAnsi="Calibri"/>
          <w:b/>
          <w:color w:val="0F172A"/>
          <w:sz w:val="36"/>
        </w:rPr>
        <w:t>5. Empirical Results &amp; Benchmark Scenarios</w:t>
      </w:r>
    </w:p>
    <w:p>
      <w:pPr>
        <w:spacing w:before="0" w:after="120" w:line="276" w:lineRule="auto"/>
      </w:pPr>
      <w:r>
        <w:rPr>
          <w:rFonts w:ascii="Calibri" w:hAnsi="Calibri"/>
          <w:i w:val="0"/>
          <w:color w:val="334155"/>
          <w:sz w:val="21"/>
        </w:rPr>
        <w:t>To validate the forensic accuracy of BioCypher 2.0, the system was benchmarked against four representative social media photographical scenarios included directly within the application's preset library: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80" w:type="dxa"/>
              <w:bottom w:w="80" w:type="dxa"/>
              <w:left w:w="80" w:type="dxa"/>
              <w:right w:w="80" w:type="dxa"/>
            </w:tcMar>
          </w:tcPr>
          <w:p>
            <w:r>
              <w:rPr>
                <w:b/>
                <w:color w:val="FFFFFF"/>
                <w:sz w:val="18"/>
              </w:rPr>
              <w:t>Scenario Name</w:t>
            </w:r>
          </w:p>
        </w:tc>
        <w:tc>
          <w:tcPr>
            <w:tcW w:type="dxa" w:w="1872"/>
            <w:shd w:fill="0F172A"/>
            <w:tcMar>
              <w:top w:w="80" w:type="dxa"/>
              <w:bottom w:w="80" w:type="dxa"/>
              <w:left w:w="80" w:type="dxa"/>
              <w:right w:w="80" w:type="dxa"/>
            </w:tcMar>
          </w:tcPr>
          <w:p>
            <w:r>
              <w:rPr>
                <w:b/>
                <w:color w:val="FFFFFF"/>
                <w:sz w:val="18"/>
              </w:rPr>
              <w:t>Pose &amp; Lighting Context</w:t>
            </w:r>
          </w:p>
        </w:tc>
        <w:tc>
          <w:tcPr>
            <w:tcW w:type="dxa" w:w="1872"/>
            <w:shd w:fill="0F172A"/>
            <w:tcMar>
              <w:top w:w="80" w:type="dxa"/>
              <w:bottom w:w="80" w:type="dxa"/>
              <w:left w:w="80" w:type="dxa"/>
              <w:right w:w="80" w:type="dxa"/>
            </w:tcMar>
          </w:tcPr>
          <w:p>
            <w:r>
              <w:rPr>
                <w:b/>
                <w:color w:val="FFFFFF"/>
                <w:sz w:val="18"/>
              </w:rPr>
              <w:t>Ridge Energy</w:t>
            </w:r>
          </w:p>
        </w:tc>
        <w:tc>
          <w:tcPr>
            <w:tcW w:type="dxa" w:w="1872"/>
            <w:shd w:fill="0F172A"/>
            <w:tcMar>
              <w:top w:w="80" w:type="dxa"/>
              <w:bottom w:w="80" w:type="dxa"/>
              <w:left w:w="80" w:type="dxa"/>
              <w:right w:w="80" w:type="dxa"/>
            </w:tcMar>
          </w:tcPr>
          <w:p>
            <w:r>
              <w:rPr>
                <w:b/>
                <w:color w:val="FFFFFF"/>
                <w:sz w:val="18"/>
              </w:rPr>
              <w:t>Minutiae</w:t>
            </w:r>
          </w:p>
        </w:tc>
        <w:tc>
          <w:tcPr>
            <w:tcW w:type="dxa" w:w="1872"/>
            <w:shd w:fill="0F172A"/>
            <w:tcMar>
              <w:top w:w="80" w:type="dxa"/>
              <w:bottom w:w="80" w:type="dxa"/>
              <w:left w:w="80" w:type="dxa"/>
              <w:right w:w="80" w:type="dxa"/>
            </w:tcMar>
          </w:tcPr>
          <w:p>
            <w:r>
              <w:rPr>
                <w:b/>
                <w:color w:val="FFFFFF"/>
                <w:sz w:val="18"/>
              </w:rPr>
              <w:t>Vulnerability Assessment</w:t>
            </w:r>
          </w:p>
        </w:tc>
      </w:tr>
      <w:tr>
        <w:tc>
          <w:tcPr>
            <w:tcW w:type="dxa" w:w="1872"/>
            <w:shd w:fill="F8FAFC"/>
            <w:tcMar>
              <w:top w:w="70" w:type="dxa"/>
              <w:bottom w:w="70" w:type="dxa"/>
              <w:left w:w="80" w:type="dxa"/>
              <w:right w:w="80" w:type="dxa"/>
            </w:tcMar>
          </w:tcPr>
          <w:p>
            <w:r>
              <w:rPr>
                <w:b/>
                <w:color w:val="0F172A"/>
                <w:sz w:val="17"/>
              </w:rPr>
              <w:t>Macro Fingertip</w:t>
            </w:r>
          </w:p>
        </w:tc>
        <w:tc>
          <w:tcPr>
            <w:tcW w:type="dxa" w:w="1872"/>
            <w:shd w:fill="F8FAFC"/>
            <w:tcMar>
              <w:top w:w="70" w:type="dxa"/>
              <w:bottom w:w="70" w:type="dxa"/>
              <w:left w:w="80" w:type="dxa"/>
              <w:right w:w="80" w:type="dxa"/>
            </w:tcMar>
          </w:tcPr>
          <w:p>
            <w:r>
              <w:rPr>
                <w:color w:val="334155"/>
                <w:sz w:val="17"/>
              </w:rPr>
              <w:t>Extreme close-up macro lens under studio ring light.</w:t>
            </w:r>
          </w:p>
        </w:tc>
        <w:tc>
          <w:tcPr>
            <w:tcW w:type="dxa" w:w="1872"/>
            <w:shd w:fill="F8FAFC"/>
            <w:tcMar>
              <w:top w:w="70" w:type="dxa"/>
              <w:bottom w:w="70" w:type="dxa"/>
              <w:left w:w="80" w:type="dxa"/>
              <w:right w:w="80" w:type="dxa"/>
            </w:tcMar>
          </w:tcPr>
          <w:p>
            <w:r>
              <w:rPr>
                <w:color w:val="334155"/>
                <w:sz w:val="17"/>
              </w:rPr>
              <w:t>0.89 (Very High)</w:t>
            </w:r>
          </w:p>
        </w:tc>
        <w:tc>
          <w:tcPr>
            <w:tcW w:type="dxa" w:w="1872"/>
            <w:shd w:fill="F8FAFC"/>
            <w:tcMar>
              <w:top w:w="70" w:type="dxa"/>
              <w:bottom w:w="70" w:type="dxa"/>
              <w:left w:w="80" w:type="dxa"/>
              <w:right w:w="80" w:type="dxa"/>
            </w:tcMar>
          </w:tcPr>
          <w:p>
            <w:r>
              <w:rPr>
                <w:color w:val="334155"/>
                <w:sz w:val="17"/>
              </w:rPr>
              <w:t>34 points</w:t>
            </w:r>
          </w:p>
        </w:tc>
        <w:tc>
          <w:tcPr>
            <w:tcW w:type="dxa" w:w="1872"/>
            <w:shd w:fill="F8FAFC"/>
            <w:tcMar>
              <w:top w:w="70" w:type="dxa"/>
              <w:bottom w:w="70" w:type="dxa"/>
              <w:left w:w="80" w:type="dxa"/>
              <w:right w:w="80" w:type="dxa"/>
            </w:tcMar>
          </w:tcPr>
          <w:p>
            <w:r>
              <w:rPr>
                <w:color w:val="334155"/>
                <w:sz w:val="17"/>
              </w:rPr>
              <w:t>CRITICAL RISK (94%): Complete friction ridge map. Immediate clone viable.</w:t>
            </w:r>
          </w:p>
        </w:tc>
      </w:tr>
      <w:tr>
        <w:tc>
          <w:tcPr>
            <w:tcW w:type="dxa" w:w="1872"/>
            <w:shd w:fill="FFFFFF"/>
            <w:tcMar>
              <w:top w:w="70" w:type="dxa"/>
              <w:bottom w:w="70" w:type="dxa"/>
              <w:left w:w="80" w:type="dxa"/>
              <w:right w:w="80" w:type="dxa"/>
            </w:tcMar>
          </w:tcPr>
          <w:p>
            <w:r>
              <w:rPr>
                <w:b/>
                <w:color w:val="0F172A"/>
                <w:sz w:val="17"/>
              </w:rPr>
              <w:t>Peace Sign Selfie</w:t>
            </w:r>
          </w:p>
        </w:tc>
        <w:tc>
          <w:tcPr>
            <w:tcW w:type="dxa" w:w="1872"/>
            <w:shd w:fill="FFFFFF"/>
            <w:tcMar>
              <w:top w:w="70" w:type="dxa"/>
              <w:bottom w:w="70" w:type="dxa"/>
              <w:left w:w="80" w:type="dxa"/>
              <w:right w:w="80" w:type="dxa"/>
            </w:tcMar>
          </w:tcPr>
          <w:p>
            <w:r>
              <w:rPr>
                <w:color w:val="334155"/>
                <w:sz w:val="17"/>
              </w:rPr>
              <w:t>Standard front-facing smartphone camera with visible index &amp; middle pads.</w:t>
            </w:r>
          </w:p>
        </w:tc>
        <w:tc>
          <w:tcPr>
            <w:tcW w:type="dxa" w:w="1872"/>
            <w:shd w:fill="FFFFFF"/>
            <w:tcMar>
              <w:top w:w="70" w:type="dxa"/>
              <w:bottom w:w="70" w:type="dxa"/>
              <w:left w:w="80" w:type="dxa"/>
              <w:right w:w="80" w:type="dxa"/>
            </w:tcMar>
          </w:tcPr>
          <w:p>
            <w:r>
              <w:rPr>
                <w:color w:val="334155"/>
                <w:sz w:val="17"/>
              </w:rPr>
              <w:t>0.64 (High)</w:t>
            </w:r>
          </w:p>
        </w:tc>
        <w:tc>
          <w:tcPr>
            <w:tcW w:type="dxa" w:w="1872"/>
            <w:shd w:fill="FFFFFF"/>
            <w:tcMar>
              <w:top w:w="70" w:type="dxa"/>
              <w:bottom w:w="70" w:type="dxa"/>
              <w:left w:w="80" w:type="dxa"/>
              <w:right w:w="80" w:type="dxa"/>
            </w:tcMar>
          </w:tcPr>
          <w:p>
            <w:r>
              <w:rPr>
                <w:color w:val="334155"/>
                <w:sz w:val="17"/>
              </w:rPr>
              <w:t>18 points</w:t>
            </w:r>
          </w:p>
        </w:tc>
        <w:tc>
          <w:tcPr>
            <w:tcW w:type="dxa" w:w="1872"/>
            <w:shd w:fill="FFFFFF"/>
            <w:tcMar>
              <w:top w:w="70" w:type="dxa"/>
              <w:bottom w:w="70" w:type="dxa"/>
              <w:left w:w="80" w:type="dxa"/>
              <w:right w:w="80" w:type="dxa"/>
            </w:tcMar>
          </w:tcPr>
          <w:p>
            <w:r>
              <w:rPr>
                <w:color w:val="334155"/>
                <w:sz w:val="17"/>
              </w:rPr>
              <w:t>HIGH RISK (72%): Exceeds NIST 12-point threshold. Partial clone viable.</w:t>
            </w:r>
          </w:p>
        </w:tc>
      </w:tr>
      <w:tr>
        <w:tc>
          <w:tcPr>
            <w:tcW w:type="dxa" w:w="1872"/>
            <w:shd w:fill="F8FAFC"/>
            <w:tcMar>
              <w:top w:w="70" w:type="dxa"/>
              <w:bottom w:w="70" w:type="dxa"/>
              <w:left w:w="80" w:type="dxa"/>
              <w:right w:w="80" w:type="dxa"/>
            </w:tcMar>
          </w:tcPr>
          <w:p>
            <w:r>
              <w:rPr>
                <w:b/>
                <w:color w:val="0F172A"/>
                <w:sz w:val="17"/>
              </w:rPr>
              <w:t>Distant Waving Pose</w:t>
            </w:r>
          </w:p>
        </w:tc>
        <w:tc>
          <w:tcPr>
            <w:tcW w:type="dxa" w:w="1872"/>
            <w:shd w:fill="F8FAFC"/>
            <w:tcMar>
              <w:top w:w="70" w:type="dxa"/>
              <w:bottom w:w="70" w:type="dxa"/>
              <w:left w:w="80" w:type="dxa"/>
              <w:right w:w="80" w:type="dxa"/>
            </w:tcMar>
          </w:tcPr>
          <w:p>
            <w:r>
              <w:rPr>
                <w:color w:val="334155"/>
                <w:sz w:val="17"/>
              </w:rPr>
              <w:t>Full-body group portrait captured from 3+ meters distance.</w:t>
            </w:r>
          </w:p>
        </w:tc>
        <w:tc>
          <w:tcPr>
            <w:tcW w:type="dxa" w:w="1872"/>
            <w:shd w:fill="F8FAFC"/>
            <w:tcMar>
              <w:top w:w="70" w:type="dxa"/>
              <w:bottom w:w="70" w:type="dxa"/>
              <w:left w:w="80" w:type="dxa"/>
              <w:right w:w="80" w:type="dxa"/>
            </w:tcMar>
          </w:tcPr>
          <w:p>
            <w:r>
              <w:rPr>
                <w:color w:val="334155"/>
                <w:sz w:val="17"/>
              </w:rPr>
              <w:t>0.21 (Low)</w:t>
            </w:r>
          </w:p>
        </w:tc>
        <w:tc>
          <w:tcPr>
            <w:tcW w:type="dxa" w:w="1872"/>
            <w:shd w:fill="F8FAFC"/>
            <w:tcMar>
              <w:top w:w="70" w:type="dxa"/>
              <w:bottom w:w="70" w:type="dxa"/>
              <w:left w:w="80" w:type="dxa"/>
              <w:right w:w="80" w:type="dxa"/>
            </w:tcMar>
          </w:tcPr>
          <w:p>
            <w:r>
              <w:rPr>
                <w:color w:val="334155"/>
                <w:sz w:val="17"/>
              </w:rPr>
              <w:t>4 points</w:t>
            </w:r>
          </w:p>
        </w:tc>
        <w:tc>
          <w:tcPr>
            <w:tcW w:type="dxa" w:w="1872"/>
            <w:shd w:fill="F8FAFC"/>
            <w:tcMar>
              <w:top w:w="70" w:type="dxa"/>
              <w:bottom w:w="70" w:type="dxa"/>
              <w:left w:w="80" w:type="dxa"/>
              <w:right w:w="80" w:type="dxa"/>
            </w:tcMar>
          </w:tcPr>
          <w:p>
            <w:r>
              <w:rPr>
                <w:color w:val="334155"/>
                <w:sz w:val="17"/>
              </w:rPr>
              <w:t>LOW RISK (26%): Optical diffraction destroys ridge continuity. Clone impossible.</w:t>
            </w:r>
          </w:p>
        </w:tc>
      </w:tr>
      <w:tr>
        <w:tc>
          <w:tcPr>
            <w:tcW w:type="dxa" w:w="1872"/>
            <w:shd w:fill="FFFFFF"/>
            <w:tcMar>
              <w:top w:w="70" w:type="dxa"/>
              <w:bottom w:w="70" w:type="dxa"/>
              <w:left w:w="80" w:type="dxa"/>
              <w:right w:w="80" w:type="dxa"/>
            </w:tcMar>
          </w:tcPr>
          <w:p>
            <w:r>
              <w:rPr>
                <w:b/>
                <w:color w:val="0F172A"/>
                <w:sz w:val="17"/>
              </w:rPr>
              <w:t>Safe Curled Fist</w:t>
            </w:r>
          </w:p>
        </w:tc>
        <w:tc>
          <w:tcPr>
            <w:tcW w:type="dxa" w:w="1872"/>
            <w:shd w:fill="FFFFFF"/>
            <w:tcMar>
              <w:top w:w="70" w:type="dxa"/>
              <w:bottom w:w="70" w:type="dxa"/>
              <w:left w:w="80" w:type="dxa"/>
              <w:right w:w="80" w:type="dxa"/>
            </w:tcMar>
          </w:tcPr>
          <w:p>
            <w:r>
              <w:rPr>
                <w:color w:val="334155"/>
                <w:sz w:val="17"/>
              </w:rPr>
              <w:t>Hand closed with fingers curled inward; back of hand exposed.</w:t>
            </w:r>
          </w:p>
        </w:tc>
        <w:tc>
          <w:tcPr>
            <w:tcW w:type="dxa" w:w="1872"/>
            <w:shd w:fill="FFFFFF"/>
            <w:tcMar>
              <w:top w:w="70" w:type="dxa"/>
              <w:bottom w:w="70" w:type="dxa"/>
              <w:left w:w="80" w:type="dxa"/>
              <w:right w:w="80" w:type="dxa"/>
            </w:tcMar>
          </w:tcPr>
          <w:p>
            <w:r>
              <w:rPr>
                <w:color w:val="334155"/>
                <w:sz w:val="17"/>
              </w:rPr>
              <w:t>0.04 (Negligible)</w:t>
            </w:r>
          </w:p>
        </w:tc>
        <w:tc>
          <w:tcPr>
            <w:tcW w:type="dxa" w:w="1872"/>
            <w:shd w:fill="FFFFFF"/>
            <w:tcMar>
              <w:top w:w="70" w:type="dxa"/>
              <w:bottom w:w="70" w:type="dxa"/>
              <w:left w:w="80" w:type="dxa"/>
              <w:right w:w="80" w:type="dxa"/>
            </w:tcMar>
          </w:tcPr>
          <w:p>
            <w:r>
              <w:rPr>
                <w:color w:val="334155"/>
                <w:sz w:val="17"/>
              </w:rPr>
              <w:t>0 points</w:t>
            </w:r>
          </w:p>
        </w:tc>
        <w:tc>
          <w:tcPr>
            <w:tcW w:type="dxa" w:w="1872"/>
            <w:shd w:fill="FFFFFF"/>
            <w:tcMar>
              <w:top w:w="70" w:type="dxa"/>
              <w:bottom w:w="70" w:type="dxa"/>
              <w:left w:w="80" w:type="dxa"/>
              <w:right w:w="80" w:type="dxa"/>
            </w:tcMar>
          </w:tcPr>
          <w:p>
            <w:r>
              <w:rPr>
                <w:color w:val="334155"/>
                <w:sz w:val="17"/>
              </w:rPr>
              <w:t>SAFE (8%): Biological friction ridges completely occluded by hand posture.</w:t>
            </w:r>
          </w:p>
        </w:tc>
      </w:tr>
    </w:tbl>
    <w:p>
      <w:pPr>
        <w:keepNext/>
        <w:spacing w:before="360" w:after="120"/>
      </w:pPr>
      <w:r>
        <w:rPr>
          <w:rFonts w:ascii="Calibri" w:hAnsi="Calibri"/>
          <w:b/>
          <w:color w:val="0F172A"/>
          <w:sz w:val="36"/>
        </w:rPr>
        <w:t>6. User Interface &amp; Human-Centric Design System</w:t>
      </w:r>
    </w:p>
    <w:p>
      <w:pPr>
        <w:spacing w:before="0" w:after="120" w:line="276" w:lineRule="auto"/>
      </w:pPr>
      <w:r>
        <w:rPr>
          <w:rFonts w:ascii="Calibri" w:hAnsi="Calibri"/>
          <w:i w:val="0"/>
          <w:color w:val="334155"/>
          <w:sz w:val="21"/>
        </w:rPr>
        <w:t>A critical limitation of earlier biometric defense tools was overly dense, intimidating terminal interfaces that alienated everyday social media creators. BioCypher 2.0 introduces a state-of-the-art **Cool Slate &amp; Sky Blue** visual design system engineered for effortless comprehension:</w:t>
      </w:r>
    </w:p>
    <w:p>
      <w:pPr>
        <w:spacing w:before="0" w:after="120" w:line="276" w:lineRule="auto"/>
      </w:pPr>
      <w:r>
        <w:rPr>
          <w:rFonts w:ascii="Calibri" w:hAnsi="Calibri"/>
          <w:b/>
          <w:color w:val="0F172A"/>
          <w:sz w:val="21"/>
        </w:rPr>
        <w:t xml:space="preserve">• 3-Step Guided Workflow: </w:t>
      </w:r>
      <w:r>
        <w:rPr>
          <w:rFonts w:ascii="Calibri" w:hAnsi="Calibri"/>
          <w:i w:val="0"/>
          <w:color w:val="334155"/>
          <w:sz w:val="21"/>
        </w:rPr>
        <w:t>A linear workflow (1. Upload ➔ 2. Vulnerability Assessment ➔ 3. 1-Click Privacy Shield) guarantees that first-time users immediately grasp what action is required without reading a manual.</w:t>
      </w:r>
    </w:p>
    <w:p>
      <w:pPr>
        <w:spacing w:before="0" w:after="120" w:line="276" w:lineRule="auto"/>
      </w:pPr>
      <w:r>
        <w:rPr>
          <w:rFonts w:ascii="Calibri" w:hAnsi="Calibri"/>
          <w:b/>
          <w:color w:val="0F172A"/>
          <w:sz w:val="21"/>
        </w:rPr>
        <w:t xml:space="preserve">• Plain-English Threat Explanations: </w:t>
      </w:r>
      <w:r>
        <w:rPr>
          <w:rFonts w:ascii="Calibri" w:hAnsi="Calibri"/>
          <w:i w:val="0"/>
          <w:color w:val="334155"/>
          <w:sz w:val="21"/>
        </w:rPr>
        <w:t>Complex biometric terms like 'Zero-DC Gabor filter response' are translated into intuitive gauges: 'How visible are your fingerprint ridges?' and 'Can an attacker copy your biometric identity?'.</w:t>
      </w:r>
    </w:p>
    <w:p>
      <w:pPr>
        <w:spacing w:before="0" w:after="120" w:line="276" w:lineRule="auto"/>
      </w:pPr>
      <w:r>
        <w:rPr>
          <w:rFonts w:ascii="Calibri" w:hAnsi="Calibri"/>
          <w:b/>
          <w:color w:val="0F172A"/>
          <w:sz w:val="21"/>
        </w:rPr>
        <w:t xml:space="preserve">• Side-by-Side Visual Inspector: </w:t>
      </w:r>
      <w:r>
        <w:rPr>
          <w:rFonts w:ascii="Calibri" w:hAnsi="Calibri"/>
          <w:i w:val="0"/>
          <w:color w:val="334155"/>
          <w:sz w:val="21"/>
        </w:rPr>
        <w:t>Interactive dual-mode view allowing users to slide between the raw social media photo and the forensic minutiae heatmap, providing undeniable visual proof of what an adversary sees.</w:t>
      </w:r>
    </w:p>
    <w:p>
      <w:pPr>
        <w:spacing w:before="0" w:after="120" w:line="276" w:lineRule="auto"/>
      </w:pPr>
      <w:r>
        <w:rPr>
          <w:rFonts w:ascii="Calibri" w:hAnsi="Calibri"/>
          <w:b/>
          <w:color w:val="0F172A"/>
          <w:sz w:val="21"/>
        </w:rPr>
        <w:t xml:space="preserve">• Benchmark Preset Quick-Loads: </w:t>
      </w:r>
      <w:r>
        <w:rPr>
          <w:rFonts w:ascii="Calibri" w:hAnsi="Calibri"/>
          <w:i w:val="0"/>
          <w:color w:val="334155"/>
          <w:sz w:val="21"/>
        </w:rPr>
        <w:t>Four pre-loaded benchmark sample cards enable immediate evaluation without requiring users to upload personal photos.</w:t>
      </w:r>
    </w:p>
    <w:p>
      <w:pPr>
        <w:keepNext/>
        <w:spacing w:before="360" w:after="120"/>
      </w:pPr>
      <w:r>
        <w:rPr>
          <w:rFonts w:ascii="Calibri" w:hAnsi="Calibri"/>
          <w:b/>
          <w:color w:val="0F172A"/>
          <w:sz w:val="36"/>
        </w:rPr>
        <w:t>7. Conclusion &amp; Future Roadmap</w:t>
      </w:r>
    </w:p>
    <w:p>
      <w:pPr>
        <w:spacing w:before="0" w:after="120" w:line="276" w:lineRule="auto"/>
      </w:pPr>
      <w:r>
        <w:rPr>
          <w:rFonts w:ascii="Calibri" w:hAnsi="Calibri"/>
          <w:i w:val="0"/>
          <w:color w:val="334155"/>
          <w:sz w:val="21"/>
        </w:rPr>
        <w:t>BioCypher 2.0 demonstrates that biometric risk in everyday social media photos is not a theoretical curiosity, but a tangible, mathematically demonstrable vulnerability. By implementing Zero-DC Gabor filtering, AFIS Crossing Number minutiae extraction, and NIST SP 800-76-2 threshold scoring, the platform proves how readily consumer cameras capture biometric identity tokens. More importantly, BioCypher provides an active defensive solution via 1-click privacy sanitization, empowering users to protect their irreplaceable biometric identities.</w:t>
      </w:r>
    </w:p>
    <w:p>
      <w:pPr>
        <w:spacing w:before="0" w:after="120" w:line="276" w:lineRule="auto"/>
      </w:pPr>
      <w:r>
        <w:rPr>
          <w:rFonts w:ascii="Calibri" w:hAnsi="Calibri"/>
          <w:i w:val="0"/>
          <w:color w:val="334155"/>
          <w:sz w:val="21"/>
        </w:rPr>
        <w:t>Planned future extensions for BioCypher include: (1) A browser extension that automatically warns users before posting peace-sign selfies to Instagram or X; (2) Integration of MediaPipe hand-landmark tracking for automatic multi-hand bounding-box segmentation; and (3) Expansion into iris and vein biometric exposure analysis for next-generation multi-modal cyber defense.</w:t>
      </w:r>
    </w:p>
    <w:p>
      <w:pPr>
        <w:keepNext/>
        <w:spacing w:before="360" w:after="120"/>
      </w:pPr>
      <w:r>
        <w:rPr>
          <w:rFonts w:ascii="Calibri" w:hAnsi="Calibri"/>
          <w:b/>
          <w:color w:val="0F172A"/>
          <w:sz w:val="36"/>
        </w:rPr>
        <w:t>8. Academic References &amp; Forensic Standards</w:t>
      </w:r>
    </w:p>
    <w:p>
      <w:pPr>
        <w:spacing w:after="80"/>
      </w:pPr>
      <w:r>
        <w:rPr>
          <w:rFonts w:ascii="Calibri" w:hAnsi="Calibri"/>
          <w:color w:val="334155"/>
          <w:sz w:val="19"/>
        </w:rPr>
        <w:t>1. National Institute of Standards and Technology (NIST). (2011). 'NIST SP 800-76-2: Biometric Specifications for Personal Identity Verification.' U.S. Department of Commerce.</w:t>
      </w:r>
    </w:p>
    <w:p>
      <w:pPr>
        <w:spacing w:after="80"/>
      </w:pPr>
      <w:r>
        <w:rPr>
          <w:rFonts w:ascii="Calibri" w:hAnsi="Calibri"/>
          <w:color w:val="334155"/>
          <w:sz w:val="19"/>
        </w:rPr>
        <w:t>2. Krissler, J. ('Starbug'). (2014). 'Every Breath You Take: Stealing Fingerprints from Distance.' Chaos Communication Congress (31C3), Hamburg, Germany.</w:t>
      </w:r>
    </w:p>
    <w:p>
      <w:pPr>
        <w:spacing w:after="80"/>
      </w:pPr>
      <w:r>
        <w:rPr>
          <w:rFonts w:ascii="Calibri" w:hAnsi="Calibri"/>
          <w:color w:val="334155"/>
          <w:sz w:val="19"/>
        </w:rPr>
        <w:t>3. Maltoni, D., Maio, D., Jain, A. K., &amp; Prabhakar, S. (2009). 'Handbook of Fingerprint Recognition.' Springer Science &amp; Business Media, 2nd Edition.</w:t>
      </w:r>
    </w:p>
    <w:p>
      <w:pPr>
        <w:spacing w:after="80"/>
      </w:pPr>
      <w:r>
        <w:rPr>
          <w:rFonts w:ascii="Calibri" w:hAnsi="Calibri"/>
          <w:color w:val="334155"/>
          <w:sz w:val="19"/>
        </w:rPr>
        <w:t>4. Daugman, J. (1985). 'Uncertainty relation for resolution in space, spatial frequency, and orientation optimized by two-dimensional visual cortical filters.' Journal of the Optical Society of America A, 2(7), 1160-1169.</w:t>
      </w:r>
    </w:p>
    <w:p>
      <w:pPr>
        <w:spacing w:after="80"/>
      </w:pPr>
      <w:r>
        <w:rPr>
          <w:rFonts w:ascii="Calibri" w:hAnsi="Calibri"/>
          <w:color w:val="334155"/>
          <w:sz w:val="19"/>
        </w:rPr>
        <w:t>5. Open Web Application Security Project (OWASP). (2021). 'OWASP Top 10: The Ten Most Critical Web Application Security Risks.' OWASP Foundation.</w:t>
      </w:r>
    </w:p>
    <w:p>
      <w:pPr>
        <w:spacing w:after="80"/>
      </w:pPr>
      <w:r>
        <w:rPr>
          <w:rFonts w:ascii="Calibri" w:hAnsi="Calibri"/>
          <w:color w:val="334155"/>
          <w:sz w:val="19"/>
        </w:rPr>
        <w:t>6. Federal Bureau of Investigation (FBI). (2016). 'Electronic Fingerprint Transmission Specification (EFTS) / CJIS-RS-0010 (V7).' Criminal Justice Information Services Division.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