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July 27,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Sandy L. Rafael</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Sangin General Construction</w:t>
      </w:r>
    </w:p>
    <w:p w:rsidR="0038220C" w:rsidRDefault="00EC1DD6" w:rsidP="001C7BBD">
      <w:pPr>
        <w:rPr>
          <w:rFonts w:ascii="Arial" w:hAnsi="Arial" w:cs="Arial"/>
          <w:sz w:val="24"/>
          <w:szCs w:val="24"/>
        </w:rPr>
      </w:pPr>
      <w:r>
        <w:rPr>
          <w:rFonts w:ascii="Arial" w:hAnsi="Arial" w:cs="Arial"/>
          <w:sz w:val="24"/>
          <w:szCs w:val="24"/>
        </w:rPr>
        <w:t>LE 8, Pipingew, Lubas, La Trinidad, Benguet/Pinehill Building, km 5, La Trinidad,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Rafael</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ROAD OPENING/ IMPROVEMENT AT PIPINGEW (NEAR ANTHONY PATINGLAG'S RESIDENCE)</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project entitled Construction of Gymnasium at Ebbes Elementary School located at Sablan, Benguet is declared 100% accomplished, However, as per verification from the Provincial Engineering Office (implementing office), the project is not yet completed and has already been subjected to Liquidated Damages. The project should have been completed on April 24, 2021, but as of June 29, 2021, it is still 96.50 percent accomplished.  This suggests poor performance on the part of the contractor.</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Sangin General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