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September 14,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DENVER L. SUIDTA</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D.L. SUIDTA CONSTRUCTION</w:t>
      </w:r>
    </w:p>
    <w:p w:rsidR="0038220C" w:rsidRDefault="00EC1DD6" w:rsidP="001C7BBD">
      <w:pPr>
        <w:rPr>
          <w:rFonts w:ascii="Arial" w:hAnsi="Arial" w:cs="Arial"/>
          <w:sz w:val="24"/>
          <w:szCs w:val="24"/>
        </w:rPr>
      </w:pPr>
      <w:r>
        <w:rPr>
          <w:rFonts w:ascii="Arial" w:hAnsi="Arial" w:cs="Arial"/>
          <w:sz w:val="24"/>
          <w:szCs w:val="24"/>
        </w:rPr>
        <w:t>OC-128 CENTRAL TAWANG LA TRINIDAD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SUIDTA</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CONSTRUCTION OF KALING-BASHOY-RANGER STATION FMR, KABAYAN</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The one-unit road roller and back hoe with bucket leased by the contractor from Engr. Anton Abyado does not have any proof of ownership or certificate oownership or certificate of availability from the lessor, and other various reasons</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D.L. SUIDTA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