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II) AT ADAOAY NATIONAL HIGH SCHOOL LOCATED AT ADAOAY, KABAYAN AND CONSTRUCTION OF TWO-STOREY INDUSTRIAL ARTS BUILDING (PHASE II) AT ADAOAY NATIONAL HIGH SCHOOL LOCATED AT ADAOAY, KABAYAN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Bidder submitted a Statement of all Completed Government and Private Construction Contracts which are similar in nature instead of Statement of Bidder's Single Largest Completed Contract (SLCC)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