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03,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Felicito G. Bang-Ngit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Mandiit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PA-004b Upper Wangal,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Bang-Ngit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DRAINAGE CANAL, SIADTO MALINIAS LUSPIAN CORES AREA, POBLACION, LA TRINIDAD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Mandiit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