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December 03, 2020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Marwin Xann C. Cabading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MXC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 Address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Cabading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OF BESOCOL - BALLAY FMR LOCATED AT BALLAY, KABAYAN, BENGUET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Kabayan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w/ TWG report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MXC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