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04,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unknown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unknown/</w:t>
      </w:r>
      <w:r w:rsidR="00EC1DD6">
        <w:rPr>
          <w:rFonts w:ascii="Arial" w:hAnsi="Arial" w:cs="Arial"/>
          <w:sz w:val="24"/>
          <w:szCs w:val="24"/>
        </w:rPr>
        <w:t>Jomarcann General Construction and MJLAC Construction  and Aggregates (JV)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unknown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projects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ANNEX BUILDING , CAPITOL (PHASE III) AND CONSTRUCTION OF ANNEX BUILDING , CAPITOL (PHASE IV)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La Trinidad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The Bidder did not declare an ongoing project with the Baguio City Engineering Office; The project lapsed and with liquidated damage. The bidder did not meet the plan and specification requirements.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Jomarcann General Construction and MJLAC Construction  and Aggregates (JV)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