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February 23,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Barmino T. Bugnay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Jamil Sean Construction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Pa 295 A, Wangal,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Bugnay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BESOCOL - BALLAY FMR LOCATED AT BALLAY, KABAYAN, BENGUET</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