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Dominguez Alones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Authorized Managing Officer/</w:t>
      </w:r>
      <w:r w:rsidR="000D299B" w:rsidRPr="00C82819">
        <w:rPr>
          <w:rFonts w:ascii="Arial Narrow" w:hAnsi="Arial Narrow" w:cs="Arial"/>
          <w:sz w:val="24"/>
          <w:szCs w:val="24"/>
        </w:rPr>
        <w:t>Spiderone Construction Company LTD./Random Builders JV</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Chinese Village Subdivision,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Alones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ANNEX BUILDING , CAPITOL (PHASE III) AND CONSTRUCTION OF ANNEX BUILDING , CAPITOL (PHASE IV)</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