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September 07,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Domingo T. Bugnay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CHRISHUA Construction Services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Ballay, Kabayan, Benguet/PA 295B Upper Wangal,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Bugnay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ALONG PROPER BALAT FMR, TAWANGAN, KABAYAN, BENGUET</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