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PRUDENCIO L. LAURI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FELVIC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111 BAYACSAN, TALOY SUR,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AURI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WATERWORKS SYSTEM AT TALOY NORTE,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