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14,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Orlando M. Wankey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TRIBAL MOVERS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Km 13, Shilan, La Trinidad, Benguet/Acop, Tublay,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Wankey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CONSTRUCTION OF LOWER COROZ TO BACQUEQUE FMR, AMBASSADOR, TUBLAY</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