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Roy M. Balay-Odao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Drichloui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Gambang,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Balay-Odao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IMPROVEMENT OF SOOKAN-GAMBANG FMR, GAMBANG, BAKUN B.) IMPROVEMENT OF SOOKAN-GAMBANG PUNGO FMR, GAMBANG,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