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ROGELIO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ALMOND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SENIOR CITIZEN'S BUILDING,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