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Ponciano A. Andiso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Safelink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Andiso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BULISAY AGAY-AY TO TAMANGAN FMR, KAYAPA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