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March 16,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Loradel P. Lim</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Potpotan General Construction</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Buyacaoan, Buguias,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Lim</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J204 BEKES-LUSONG FMR, BUYACAOAN, BUGUIAS</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