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BUILDING, BANANGAN, SABLAN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