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unknown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EMNAR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unknown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EXTENSION OF MOTORPOOL SHED SUPPORT UNIT- WANGAL, LA TRINDAD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