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November 12,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Roben B. Runas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Roben Runas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008 Upper Poblacion, Tuba,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Runas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SAN PASCUAL ELEMENTARY SCHOOL GROUND, SAN PASCUAL, TUBA, BENGUET</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