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EDENSON T. SAWAC</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DELTA FORCE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LAM-AYAN, BANGAO,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SAWAC</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IMPROVEMENT OF STAGE, POYOPOY, ELEMENTARY SCHOOL, TALOY SUR,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