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01,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Ruben B. Pacheco Jr.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Guardian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Ad-021 Central Buyagan, Poblacion, La Trinidad</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Pacheco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FLOOD CONTROL PHASE II, BITO, BAGONG, SABLAN,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