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20,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THOMAS PALILENG JR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SEPJR CONSTRUCTION &amp; SUPPLIES TRADING</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MA 151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PALILENG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BANYOL-LUBAS FMR, ANSAGAN, TUBA</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