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MULTI-PURPOSE BUILDING FOR MADAYMEN NATIONAL  HIGH SCHOOL IN MADAYMEN, KIBUNGAN B.) CONSTRUCTION OF MULTI-PURPOSE BUILDING FOR MADAYMEN NATIONAL HIGH SCHOOL, KIBUNGAN, BENGUET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