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Epie G. Abalos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Reasons Construction And Supplies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JC-259 Pico,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Abalos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MULTI-PURPOSE HALL (PHASE II), ANSAGAN, TUBA</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