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04,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Marcos P. Luma-Ang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Family Circle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Km. 12 Senly Loy Building, Shilan,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Luma-Ang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BARANGAY MULTI-PURPOSE BUILDING, TABA-AO, KAPANGAN (PHASE II)</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