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RETAINING WALL AND REHABILITATION OF CANAL ALONG UPPER MANGGA TURNING POINT, TUDING,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