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Dominguez F. Alones ; Walter T. Fuchigami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Managers/</w:t>
      </w:r>
      <w:r w:rsidR="000D299B" w:rsidRPr="00C82819">
        <w:rPr>
          <w:rFonts w:ascii="Arial Narrow" w:hAnsi="Arial Narrow" w:cs="Arial"/>
          <w:sz w:val="24"/>
          <w:szCs w:val="24"/>
        </w:rPr>
        <w:t>Random Builders And Fuchigami Construction and Boring Proprietaries JV</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 109 Trinivilee Subdivision, Tomay, La Trinidad, Benguet; Pico,La Trinidad,Benguet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Fuchigami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3 STOREY PROVINCIAL HEALTH SERVICES MULTI-PURPOSE BUILDING</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