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Victorino M. Balaodan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KVC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399-D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Balaodan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UPGRADING AND IMPROVEMENT OF HALSEMA-MADAYMEN PROVINCIAL ROAD (PHASE III)</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