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EMMANUEL S. LEO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Leo Heirs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Acop Caponga Tublay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BOX CULVERT AT CENTRAL AMBIONG, PITDAWAN, LA TRINIDAD</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