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Anthony T. Licangan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BGZ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AD24-A Buyagan,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Licangan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FORM PROVINCIAL EVACUATION CENTER (TTMF#2) TO MOTORPOOL-HOUSING ROAD JUNCTION,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